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4.xml" ContentType="application/vnd.openxmlformats-officedocument.wordprocessingml.footer+xml"/>
  <Override PartName="/word/media/image9.jpeg" ContentType="image/jpeg"/>
  <Override PartName="/word/media/image1.jpeg" ContentType="image/jpeg"/>
  <Override PartName="/word/media/image2.jpeg" ContentType="image/jpeg"/>
  <Override PartName="/word/media/image5.png" ContentType="image/png"/>
  <Override PartName="/word/media/image3.jpeg" ContentType="image/jpeg"/>
  <Override PartName="/word/media/image4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png" ContentType="image/png"/>
  <Override PartName="/word/media/image14.png" ContentType="image/pn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10846" w:type="dxa"/>
        <w:jc w:val="left"/>
        <w:tblInd w:w="-470" w:type="dxa"/>
        <w:tblBorders>
          <w:top w:val="threeDEngrave" w:sz="24" w:space="0" w:color="00000A"/>
          <w:left w:val="threeDEngrave" w:sz="24" w:space="0" w:color="00000A"/>
          <w:bottom w:val="threeDEmboss" w:sz="24" w:space="0" w:color="00000A"/>
          <w:right w:val="threeDEmboss" w:sz="24" w:space="0" w:color="00000A"/>
          <w:insideH w:val="threeDEmboss" w:sz="24" w:space="0" w:color="00000A"/>
          <w:insideV w:val="threeDEmboss" w:sz="24" w:space="0" w:color="00000A"/>
        </w:tblBorders>
        <w:tblCellMar>
          <w:top w:w="0" w:type="dxa"/>
          <w:left w:w="-60" w:type="dxa"/>
          <w:bottom w:w="0" w:type="dxa"/>
          <w:right w:w="108" w:type="dxa"/>
        </w:tblCellMar>
        <w:tblLook w:val="00a0"/>
      </w:tblPr>
      <w:tblGrid>
        <w:gridCol w:w="10846"/>
      </w:tblGrid>
      <w:tr>
        <w:trPr>
          <w:trHeight w:val="585" w:hRule="atLeast"/>
        </w:trPr>
        <w:tc>
          <w:tcPr>
            <w:tcW w:w="10846" w:type="dxa"/>
            <w:tcBorders>
              <w:top w:val="threeDEngrave" w:sz="24" w:space="0" w:color="00000A"/>
              <w:left w:val="threeDEngrave" w:sz="24" w:space="0" w:color="00000A"/>
              <w:bottom w:val="threeDEmboss" w:sz="24" w:space="0" w:color="00000A"/>
              <w:right w:val="threeDEmboss" w:sz="24" w:space="0" w:color="00000A"/>
              <w:insideH w:val="threeDEmboss" w:sz="24" w:space="0" w:color="00000A"/>
              <w:insideV w:val="threeDEmboss" w:sz="24" w:space="0" w:color="00000A"/>
            </w:tcBorders>
            <w:shd w:color="auto" w:fill="548DD4" w:val="clear"/>
            <w:tcMar>
              <w:left w:w="-60" w:type="dxa"/>
            </w:tcMar>
          </w:tcPr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895985" cy="1076960"/>
                  <wp:effectExtent l="0" t="0" r="0" b="0"/>
                  <wp:docPr id="1" name="Рисунок 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24"/>
                <w:szCs w:val="24"/>
              </w:rPr>
            </w:pPr>
            <w:r>
              <w:rPr>
                <w:rFonts w:cs="Bookman Old Style" w:ascii="Bookman Old Style" w:hAnsi="Bookman Old Style"/>
                <w:b/>
                <w:bCs/>
                <w:sz w:val="24"/>
                <w:szCs w:val="24"/>
              </w:rPr>
              <w:pict>
                <v:shapetype id="shapetype_136" coordsize="21600,21600" o:spt="136" adj="10800" path="m@9,l@10,em@11,21600l@12,21600e">
                  <v:stroke joinstyle="miter"/>
                  <v:formulas>
                    <v:f eqn="val #0"/>
                    <v:f eqn="sum @0 0 10800"/>
                    <v:f eqn="sum @0 0 0"/>
                    <v:f eqn="sum width 0 @0"/>
                    <v:f eqn="prod @2 2 1"/>
                    <v:f eqn="prod @3 2 1"/>
                    <v:f eqn="if @1 @5 @4"/>
                    <v:f eqn="sum 0 @6 0"/>
                    <v:f eqn="sum width 0 @6"/>
                    <v:f eqn="if @1 0 @8"/>
                    <v:f eqn="if @1 @7 width"/>
                    <v:f eqn="if @1 @8 0"/>
                    <v:f eqn="if @1 width @7"/>
                  </v:formulas>
                  <v:handles>
                    <v:h position="@0,21600"/>
                  </v:handles>
                </v:shapetype>
                <v:shape id="shape_0" fillcolor="white" stroked="t" style="position:absolute;margin-left:31.55pt;margin-top:1.05pt;width:469.6pt;height:75.85pt" type="shapetype_136">
                  <v:path textpathok="t"/>
                  <v:textpath on="t" fitshape="t" string="ИНВЕСТИЦИОННЫЙ ПАСПОРТ" style="font-family:&quot;Times New Roman&quot;"/>
                  <w10:wrap type="none"/>
                  <v:fill o:detectmouseclick="t" type="solid" color2="black"/>
                  <v:stroke color="black" joinstyle="miter" endcap="flat"/>
                </v:shape>
              </w:pic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pBdr>
                <w:bottom w:val="single" w:sz="4" w:space="1" w:color="00000A"/>
              </w:pBdr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  <w:pict>
                <v:shape id="shape_0" fillcolor="#0066cc" stroked="t" style="position:absolute;margin-left:16.55pt;margin-top:5.5pt;width:480.85pt;height:24.85pt" type="shapetype_136">
                  <v:path textpathok="t"/>
                  <v:textpath on="t" fitshape="t" string="ИЛЬИНСКИЙ МУНИЦИПАЛЬНЫЙ РАЙОН" style="font-family:&quot;Times New Roman&quot;"/>
                  <w10:wrap type="none"/>
                  <v:fill o:detectmouseclick="t" type="solid" color2="#ff9933"/>
                  <v:stroke color="#99ccff" weight="19080" joinstyle="miter" endcap="flat"/>
                </v:shape>
              </w:pic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outline/>
                <w:shadow/>
                <w:color w:val="0033CC"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Ивановской области</w: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0"/>
                <w:szCs w:val="40"/>
              </w:rPr>
            </w:pPr>
            <w:r>
              <w:rPr>
                <w:rFonts w:cs="Bookman Old Style" w:ascii="Bookman Old Style" w:hAnsi="Bookman Old Style"/>
                <w:b/>
                <w:bCs/>
                <w:sz w:val="40"/>
                <w:szCs w:val="40"/>
              </w:rPr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/>
            </w:pPr>
            <w:r>
              <w:rPr>
                <w:rFonts w:cs="Bookman Old Style" w:ascii="Bookman Old Style" w:hAnsi="Bookman Old Style"/>
                <w:b/>
                <w:bCs/>
                <w:outline/>
                <w:shadow/>
                <w:color w:val="0033CC"/>
                <w:sz w:val="40"/>
                <w:szCs w:val="40"/>
              </w:rPr>
              <w:t>2018 ГОД</w:t>
            </w:r>
          </w:p>
          <w:p>
            <w:pPr>
              <w:pStyle w:val="Normal"/>
              <w:shd w:val="clear" w:color="auto" w:fill="FFFFFF"/>
              <w:ind w:right="-83" w:hanging="0"/>
              <w:jc w:val="center"/>
              <w:rPr>
                <w:rFonts w:ascii="Bookman Old Style" w:hAnsi="Bookman Old Style" w:cs="Bookman Old Style"/>
                <w:b/>
                <w:b/>
                <w:bCs/>
                <w:sz w:val="48"/>
                <w:szCs w:val="48"/>
              </w:rPr>
            </w:pPr>
            <w:r>
              <w:rPr>
                <w:rFonts w:cs="Bookman Old Style" w:ascii="Bookman Old Style" w:hAnsi="Bookman Old Style"/>
                <w:b/>
                <w:bCs/>
                <w:sz w:val="48"/>
                <w:szCs w:val="48"/>
              </w:rPr>
            </w:r>
          </w:p>
        </w:tc>
      </w:tr>
    </w:tbl>
    <w:p>
      <w:pPr>
        <w:pStyle w:val="Normal"/>
        <w:pBdr>
          <w:left w:val="single" w:sz="4" w:space="1" w:color="00000A"/>
          <w:bottom w:val="single" w:sz="4" w:space="1" w:color="00000A"/>
        </w:pBdr>
        <w:shd w:val="clear" w:color="auto" w:fill="F2F2F2"/>
        <w:ind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br w:type="page"/>
      </w: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ИНВЕСТИЦИОННЫЙ ПАСПОРТ</w:t>
      </w:r>
    </w:p>
    <w:p>
      <w:pPr>
        <w:pStyle w:val="Normal"/>
        <w:pBdr>
          <w:left w:val="single" w:sz="4" w:space="1" w:color="00000A"/>
          <w:bottom w:val="single" w:sz="4" w:space="1" w:color="00000A"/>
        </w:pBdr>
        <w:shd w:val="clear" w:color="auto" w:fill="F2F2F2"/>
        <w:ind w:right="-83" w:hanging="0"/>
        <w:jc w:val="center"/>
        <w:rPr>
          <w:rFonts w:ascii="Arial" w:hAnsi="Arial" w:cs="Arial"/>
          <w:b/>
          <w:b/>
          <w:bCs/>
          <w:outline/>
          <w:shadow/>
          <w:spacing w:val="20"/>
          <w:sz w:val="28"/>
          <w:szCs w:val="28"/>
        </w:rPr>
      </w:pPr>
      <w:r>
        <w:rPr>
          <w:rFonts w:cs="Arial" w:ascii="Arial" w:hAnsi="Arial"/>
          <w:b/>
          <w:bCs/>
          <w:outline/>
          <w:shadow/>
          <w:spacing w:val="20"/>
          <w:sz w:val="28"/>
          <w:szCs w:val="28"/>
        </w:rPr>
        <w:t>ИЛЬИНСКОГО МУНИЦИПАЛЬНОГО РАЙОНА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i/>
          <w:iCs/>
          <w:sz w:val="24"/>
          <w:szCs w:val="24"/>
        </w:rPr>
        <w:t>(городского округа, муниципального района)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1. ОБЩАЯ ХАРАКТЕРИСТИКА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1.1.Наименование муниципального образования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1.2.Центр муниципального образования</w:t>
      </w:r>
      <w:r>
        <w:rPr>
          <w:rFonts w:cs="Bookman Old Style" w:ascii="Bookman Old Style" w:hAnsi="Bookman Old Style"/>
          <w:sz w:val="24"/>
          <w:szCs w:val="24"/>
        </w:rPr>
        <w:t xml:space="preserve"> - п. Ильинское-Хованское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1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1.3.Глава администрации (ФИО) </w:t>
      </w:r>
      <w:r>
        <w:rPr>
          <w:rFonts w:cs="Bookman Old Style" w:ascii="Bookman Old Style" w:hAnsi="Bookman Old Style"/>
          <w:sz w:val="24"/>
          <w:szCs w:val="24"/>
        </w:rPr>
        <w:t>– Васютинский Сергей Иванович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1.4.Ответственный от администрации по инвестиционной политике (ФИО) </w:t>
      </w:r>
      <w:r>
        <w:rPr>
          <w:rFonts w:cs="Bookman Old Style" w:ascii="Bookman Old Style" w:hAnsi="Bookman Old Style"/>
          <w:sz w:val="24"/>
          <w:szCs w:val="24"/>
        </w:rPr>
        <w:t>– Ефремов Сергей Михайлович, заместитель главы администрации Ильинского муниципального района, начальник отдела экономики и муниципального хозяйства.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1.5.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Контактная информация (почтовый адрес, телефон, факс, электронная почта, адрес представительства в сети Интернет, официальное печатное издание)</w:t>
      </w: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 </w:t>
      </w: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155060 Ивановская обл., п. Ильинское-Хованское, ул. Советская, д. 2, тел./факс: (49353) 2-18-01, 2-14-09 / 2-14-01</w:t>
      </w:r>
      <w:r>
        <w:rPr>
          <w:rFonts w:cs="Bookman Old Style" w:ascii="Bookman Old Style" w:hAnsi="Bookman Old Style"/>
          <w:sz w:val="24"/>
          <w:szCs w:val="24"/>
        </w:rPr>
        <w:t xml:space="preserve">, 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pacing w:val="-6"/>
          <w:sz w:val="24"/>
          <w:szCs w:val="24"/>
        </w:rPr>
        <w:t>электронная почта</w:t>
      </w:r>
      <w:r>
        <w:rPr>
          <w:rFonts w:cs="Bookman Old Style" w:ascii="Bookman Old Style" w:hAnsi="Bookman Old Style"/>
          <w:sz w:val="24"/>
          <w:szCs w:val="24"/>
        </w:rPr>
        <w:t xml:space="preserve">: </w:t>
      </w:r>
      <w:hyperlink r:id="rId3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admin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@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</w:rPr>
        <w:t xml:space="preserve">, 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upravlenie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</w:rPr>
        <w:t>_2014@mail.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  <w:u w:val="single"/>
          <w:lang w:val="en-US"/>
        </w:rPr>
        <w:t>ru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официальный сайт: </w:t>
      </w:r>
      <w:hyperlink r:id="rId4"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www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admilinskoe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</w:rPr>
          <w:t>.</w:t>
        </w:r>
        <w:r>
          <w:rPr>
            <w:rStyle w:val="Style13"/>
            <w:rFonts w:cs="Bookman Old Style" w:ascii="Bookman Old Style" w:hAnsi="Bookman Old Style"/>
            <w:b/>
            <w:bCs/>
            <w:i/>
            <w:iCs/>
            <w:color w:val="00000A"/>
            <w:sz w:val="24"/>
            <w:szCs w:val="24"/>
            <w:lang w:val="en-US"/>
          </w:rPr>
          <w:t>ru</w:t>
        </w:r>
      </w:hyperlink>
      <w:r>
        <w:rPr>
          <w:rFonts w:cs="Bookman Old Style" w:ascii="Bookman Old Style" w:hAnsi="Bookman Old Style"/>
          <w:sz w:val="24"/>
          <w:szCs w:val="24"/>
        </w:rPr>
        <w:t xml:space="preserve">,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официальное печатное издание – газета «</w:t>
      </w:r>
      <w:r>
        <w:rPr>
          <w:rFonts w:cs="Bookman Old Style" w:ascii="Bookman Old Style" w:hAnsi="Bookman Old Style"/>
          <w:b/>
          <w:bCs/>
          <w:sz w:val="24"/>
          <w:szCs w:val="24"/>
        </w:rPr>
        <w:t>Звезда</w:t>
      </w:r>
      <w:r>
        <w:rPr>
          <w:rFonts w:cs="Bookman Old Style" w:ascii="Bookman Old Style" w:hAnsi="Bookman Old Style"/>
          <w:sz w:val="24"/>
          <w:szCs w:val="24"/>
        </w:rPr>
        <w:t>».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1.6.Географическая характеристика </w:t>
      </w:r>
      <w:r>
        <w:rPr>
          <w:rFonts w:cs="Bookman Old Style" w:ascii="Bookman Old Style" w:hAnsi="Bookman Old Style"/>
          <w:sz w:val="24"/>
          <w:szCs w:val="24"/>
        </w:rPr>
        <w:t>- Ильинский муниципальный район расположен в центральной полосе России и граничит с севера  и северо-запада с Ярославской областью, с юга – с Владимирской, с юго-востока  и востока – с Гаврилово-Посадским, Тейковским и Комсомольским районами Ивановской области. Равнинная местность пересекается реками Сухода, Лахость, Сахта, Ухтома, Нерль. Имеются лесные массивы. Природные ресурсы представлены запасами гравия, песка, глины.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1.7.Общая площадь территории</w:t>
      </w:r>
      <w:r>
        <w:rPr>
          <w:rFonts w:cs="Bookman Old Style" w:ascii="Bookman Old Style" w:hAnsi="Bookman Old Style"/>
          <w:sz w:val="24"/>
          <w:szCs w:val="24"/>
        </w:rPr>
        <w:t>: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1.7.1.Общая площадь территории (тыс.га) - 140,009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37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1.7.2.Площадь застроенных земель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1,096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37" w:leader="none"/>
          <w:tab w:val="left" w:pos="652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1.7.3.Незастроенные территории, всего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8,876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37" w:leader="none"/>
          <w:tab w:val="left" w:pos="652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1.7.4.Сельскохозяйственные угодья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7,1108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1.7.5.Лесные земли (тыс.га) - </w:t>
      </w:r>
      <w:r>
        <w:rPr>
          <w:rFonts w:cs="Bookman Old Style" w:ascii="Bookman Old Style" w:hAnsi="Bookman Old Style"/>
          <w:color w:val="000000"/>
          <w:sz w:val="24"/>
          <w:szCs w:val="24"/>
        </w:rPr>
        <w:t>5,2715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1.7.6.Площади под древесно-кустарниковой растительностью, не входящие в лесной фонд (тыс.га) - 5,179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1.7.7.Водоемы (тыс.га) - 1,035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1.7.8.Водные объекты (название)- реки Сухода, Лахость, Сахта, Ухтома, Нерль.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1.7.9.Земли особо охраняемых территорий (тыс.га)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1.8.Наличие месторождений общераспространенных полезных ископаемых (наименование)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вид ресурса и его запасы - гравий, песок, глина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1.8.1.Запас ресурса (млн.куб.м.) – 2,195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1.9.-1.13.Население и трудовые ресурсы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1.9.Количество населенных пунктов (ед.) </w:t>
      </w:r>
      <w:r>
        <w:rPr>
          <w:rFonts w:cs="Bookman Old Style" w:ascii="Bookman Old Style" w:hAnsi="Bookman Old Style"/>
          <w:sz w:val="24"/>
          <w:szCs w:val="24"/>
        </w:rPr>
        <w:t xml:space="preserve">- 160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1.10.Численность постоянного населения </w:t>
      </w:r>
      <w:r>
        <w:rPr>
          <w:rFonts w:cs="Bookman Old Style" w:ascii="Bookman Old Style" w:hAnsi="Bookman Old Style"/>
          <w:sz w:val="24"/>
          <w:szCs w:val="24"/>
        </w:rPr>
        <w:t>(на 01.01.2019 г.)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1.10.1.Всего (тыс. чел.) – 8,075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1.10.2.Численность городского населения (тыс. чел.) - 2,840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1.10.3.Численность сельского населения (тыс. чел.) - 5,235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1.10.4.Плотность населения (чел./кв.км.) – 5,8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1.11.Демографическая ситуация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1.11.1.Доля жителей младше трудоспособного возраста (%) – 13,5 %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1.11.2.Доля жителей в трудоспособном возрасте (%) – 50,8 %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1.11.3.Доля жителей старше трудоспособного возраста (%) – 35,7 %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0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1.11.4.Доля мужчин в населении (%) – 46,4 %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1.11.5.Доля людей с высшим образованием (%) – 11,6 %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1.12.Численность населения в трудоспособном возрасте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1.12.1.всего (тыс.чел.) – 4,</w:t>
      </w:r>
      <w:r>
        <w:rPr>
          <w:rFonts w:cs="Bookman Old Style" w:ascii="Bookman Old Style" w:hAnsi="Bookman Old Style"/>
          <w:sz w:val="24"/>
          <w:szCs w:val="24"/>
        </w:rPr>
        <w:t>037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1.12.2.численность безработных, всего (чел.) – 97 (2,4%)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36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1.13.Доходы населения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1.13.1.Среднемесячная заработная плата (тыс. руб.) – 20,305 (за  2018 г.)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1.13.2.Численность населения с денежными доходами ниже величины прожиточного минимума (%) – 14,3 (в среднем по области)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1.14.Общая экологическая ситуация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1.14.1.наличие объектов катастрофической опасности (ед.)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46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1.14.2.содержание загрязняющих веществ в воде (мг/куб. м.)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46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1.14.3.загрязнение почвы химическими элементами (мг/кг)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1.14.4.количество отходов, образуемых на предприятиях, всего (тонн/год) — </w:t>
      </w:r>
      <w:r>
        <w:rPr>
          <w:rFonts w:cs="Bookman Old Style" w:ascii="Bookman Old Style" w:hAnsi="Bookman Old Style"/>
          <w:color w:val="000000"/>
          <w:sz w:val="24"/>
          <w:szCs w:val="24"/>
        </w:rPr>
        <w:t>н.д.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1.14.5.токсичных (тонн/год)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2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1.14.6.радиационный фон (Зиверт) – в норме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1.14.7.количество мест с превышением нормы радиационного фона (ед.)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color w:val="FF0000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FF0000"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2. ЭКОНОМИЧЕСКИЙ ПОТЕНЦИАЛ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2.1.Основные виды экономической деятельности в промышленности</w:t>
      </w:r>
      <w:r>
        <w:rPr>
          <w:rFonts w:cs="Bookman Old Style" w:ascii="Bookman Old Style" w:hAnsi="Bookman Old Style"/>
          <w:sz w:val="24"/>
          <w:szCs w:val="24"/>
        </w:rPr>
        <w:t>- пищевая промышленность, обработка древесины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2.1.1.Отгружено промышленной продукции (млн.руб.) – 667,223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2.1.2.Промышленные (крупные и средние) предприятия района (ед.) – 1 ед.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ОАО «Аньковское» (производство сыров и сливочного масла).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2.1.3.Прирост объема продукции в промышленности — 84,8(%)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2.1.4.Перечень основных предприятий (Наименование предприятия, форма собственности, основной вид деятельности, почтовый адрес, ФИО руководителя, должность руководителя, телефон, факс, адрес электронной почты, виды выпускаемой продукции):</w:t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1. МУП РМПО ЖКХ Ильинского муниципального района, п. Ильинское, ул. Садовая, д.39,   содержание торговой площади, бани, водоснабжение директор – Морозов А.М., 2-12-45</w:t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 МУП «ЖКХ (Ильинское) Ильинского муниципального района», п. Ильинское, ул. Советская, 85, водоснабжение и водоотведение, очистка сточных вод, директор – Денисенков Д.С., 2-17-37</w:t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 ООО «Ильинское ЖКХ», п. Ильинское, ул. Кооперативная, 3, содержание и ремонт жилфонда, директор – Журавлёва Г.В., 2-12-80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4. Ильинский производственный участок АО «Тейковское ПТС», централизованное теплоснабжение, начальник участка – Булыгин С.В., 2-16-81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 МУП «Ильинское АТП», п. Ильинское, ул. Советская, д.83, перевозка пассажиров внутри района и междугородние рейсы, директор - Пшеничнов В.А., 2-17-93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6. ЗАО «Ильинское», п. Ильинское, ул. Советская, д.13, животноводство, растениеводство, директор - Можарин С.А., 2-12-57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7. ЗАО «Гарское», с. Гари, животноводство, растениеводство, директор - Боталов В.Н., 2-53-17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8. ООО «Ильинское-Агро» группа компаний «Ермак», животноводство, генеральный директор – Двойных С.В., 2-63-10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9. ОАО «Аньковское», с. Аньково, производство сыра, сливочного масла, генеральный директор – Грязнова И.Л., 8-4932-93-28-20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10. ООО «Константиновский карьер», д. Никольское (г. Иваново, ул. Лакина, д.1), добыча гравия, песка, глины, директор – Хрипунов А.В., 8-920-345-36-10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11. ООО «Тейковская земельная компания», д. Петряйка (г. Иваново, ул. 11-й Проезд, д.7, оф.69), добыча гравия, песка, глины, начальник участка - директор – Гришанов А.Н., 38-43-79.</w:t>
      </w:r>
    </w:p>
    <w:p>
      <w:pPr>
        <w:pStyle w:val="Normal"/>
        <w:pBdr>
          <w:left w:val="single" w:sz="4" w:space="0" w:color="00000A"/>
        </w:pBdr>
        <w:ind w:right="-83" w:hanging="0"/>
        <w:jc w:val="both"/>
        <w:rPr/>
      </w:pPr>
      <w:r>
        <mc:AlternateContent>
          <mc:Choice Requires="wps">
            <w:drawing>
              <wp:anchor behindDoc="1" distT="0" distB="0" distL="114300" distR="114300" simplePos="0" locked="0" layoutInCell="1" allowOverlap="1" relativeHeight="2">
                <wp:simplePos x="0" y="0"/>
                <wp:positionH relativeFrom="column">
                  <wp:posOffset>-26035</wp:posOffset>
                </wp:positionH>
                <wp:positionV relativeFrom="paragraph">
                  <wp:posOffset>334010</wp:posOffset>
                </wp:positionV>
                <wp:extent cx="8890" cy="1456055"/>
                <wp:effectExtent l="0" t="0" r="0" b="0"/>
                <wp:wrapNone/>
                <wp:docPr id="4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0" cy="145548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cs="Bookman Old Style" w:ascii="Bookman Old Style" w:hAnsi="Bookman Old Style"/>
          <w:sz w:val="24"/>
          <w:szCs w:val="24"/>
        </w:rPr>
        <w:t>12. ЗАО Строительно-производственная компания «Стройрегионгрупп» (г. Иваново, ул. Станко, 23), добыча гравия, песка, глины, коммерческий директор – Егоров С.С.</w:t>
      </w:r>
    </w:p>
    <w:p>
      <w:pPr>
        <w:pStyle w:val="Default"/>
        <w:rPr/>
      </w:pPr>
      <w:r>
        <w:rPr>
          <w:rFonts w:cs="Bookman Old Style" w:ascii="Bookman Old Style" w:hAnsi="Bookman Old Style"/>
        </w:rPr>
        <w:t>13. ООО «РЕББИТС», (</w:t>
      </w:r>
      <w:r>
        <w:rPr>
          <w:rFonts w:ascii="Bookman Old Style" w:hAnsi="Bookman Old Style"/>
          <w:color w:val="00000A"/>
          <w:shd w:fill="FFFFFF" w:val="clear"/>
        </w:rPr>
        <w:t>с. Ивашево, ул. Советская, д. 7</w:t>
      </w:r>
      <w:r>
        <w:rPr>
          <w:rFonts w:ascii="Bookman Old Style" w:hAnsi="Bookman Old Style"/>
          <w:shd w:fill="FFFFFF" w:val="clear"/>
        </w:rPr>
        <w:t>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</w:rPr>
        <w:t xml:space="preserve">производство мяса кроликов, производство и реализации маточного поголовья, изготовление и реализация клеток для кроликов по технологии Михайлова, </w:t>
      </w:r>
      <w:r>
        <w:rPr>
          <w:rFonts w:ascii="Bookman Old Style" w:hAnsi="Bookman Old Style"/>
          <w:bCs/>
        </w:rPr>
        <w:t>Директор Ткаченко А.В. -</w:t>
      </w:r>
      <w:r>
        <w:rPr>
          <w:rFonts w:ascii="Bookman Old Style" w:hAnsi="Bookman Old Style"/>
          <w:color w:val="00000A"/>
          <w:shd w:fill="FFFFFF" w:val="clear"/>
        </w:rPr>
        <w:t>8-903-790-55-70</w:t>
      </w:r>
    </w:p>
    <w:p>
      <w:pPr>
        <w:pStyle w:val="Normal"/>
        <w:rPr/>
      </w:pPr>
      <w:r>
        <w:rPr>
          <w:rFonts w:ascii="Bookman Old Style" w:hAnsi="Bookman Old Style"/>
          <w:sz w:val="24"/>
          <w:szCs w:val="24"/>
        </w:rPr>
        <w:t>14.</w:t>
      </w:r>
      <w:r>
        <w:rPr>
          <w:rFonts w:cs="Bookman Old Style" w:ascii="Bookman Old Style" w:hAnsi="Bookman Old Style"/>
          <w:sz w:val="24"/>
          <w:szCs w:val="24"/>
        </w:rPr>
        <w:t xml:space="preserve"> ООО «РЕББИТ-ХОЛ», (</w:t>
      </w:r>
      <w:r>
        <w:rPr>
          <w:rFonts w:ascii="Bookman Old Style" w:hAnsi="Bookman Old Style"/>
          <w:sz w:val="24"/>
          <w:szCs w:val="24"/>
          <w:shd w:fill="FFFFFF" w:val="clear"/>
        </w:rPr>
        <w:t>с. Ивашево, ул. Советская, д. 7)</w:t>
      </w:r>
      <w:r>
        <w:rPr>
          <w:sz w:val="22"/>
          <w:szCs w:val="22"/>
        </w:rPr>
        <w:t xml:space="preserve"> </w:t>
      </w:r>
      <w:r>
        <w:rPr>
          <w:rFonts w:ascii="Bookman Old Style" w:hAnsi="Bookman Old Style"/>
          <w:sz w:val="24"/>
          <w:szCs w:val="24"/>
        </w:rPr>
        <w:t xml:space="preserve">производство мяса кроликов,  </w:t>
      </w:r>
      <w:r>
        <w:rPr>
          <w:rFonts w:ascii="Bookman Old Style" w:hAnsi="Bookman Old Style"/>
          <w:bCs/>
          <w:sz w:val="24"/>
          <w:szCs w:val="24"/>
        </w:rPr>
        <w:t>Директор Дорошенко А.М.</w:t>
      </w:r>
      <w:r>
        <w:rPr>
          <w:rFonts w:ascii="Bookman Old Style" w:hAnsi="Bookman Old Style"/>
          <w:bCs/>
        </w:rPr>
        <w:t xml:space="preserve"> </w:t>
      </w:r>
      <w:r>
        <w:rPr>
          <w:rFonts w:ascii="Bookman Old Style" w:hAnsi="Bookman Old Style"/>
          <w:bCs/>
          <w:sz w:val="24"/>
          <w:szCs w:val="24"/>
        </w:rPr>
        <w:t>-</w:t>
      </w:r>
      <w:r>
        <w:rPr>
          <w:rFonts w:ascii="Bookman Old Style" w:hAnsi="Bookman Old Style"/>
          <w:sz w:val="24"/>
          <w:szCs w:val="24"/>
          <w:shd w:fill="FFFFFF" w:val="clear"/>
        </w:rPr>
        <w:t>8-916-592-39-92</w:t>
      </w:r>
    </w:p>
    <w:p>
      <w:pPr>
        <w:pStyle w:val="Default"/>
        <w:rPr>
          <w:sz w:val="22"/>
          <w:szCs w:val="22"/>
        </w:rPr>
      </w:pPr>
      <w:r>
        <w:rPr>
          <w:rFonts w:ascii="Bookman Old Style" w:hAnsi="Bookman Old Style"/>
          <w:shd w:fill="FFFFFF" w:val="clear"/>
        </w:rPr>
        <w:t xml:space="preserve">30. ООО «КФХ Кулачево», с. Кулачево </w:t>
      </w:r>
      <w:r>
        <w:rPr>
          <w:rFonts w:ascii="Bookman Old Style" w:hAnsi="Bookman Old Style"/>
          <w:color w:val="00000A"/>
          <w:shd w:fill="FFFFFF" w:val="clear"/>
        </w:rPr>
        <w:t>(Тейковский район, г. Тейково, ул. Матросова, д. 47/20</w:t>
      </w:r>
      <w:r>
        <w:rPr>
          <w:rFonts w:ascii="Bookman Old Style" w:hAnsi="Bookman Old Style"/>
          <w:shd w:fill="FFFFFF" w:val="clear"/>
        </w:rPr>
        <w:t xml:space="preserve">) </w:t>
      </w:r>
      <w:r>
        <w:rPr>
          <w:rFonts w:ascii="Bookman Old Style" w:hAnsi="Bookman Old Style"/>
          <w:color w:val="00000A"/>
        </w:rPr>
        <w:t>выращивани</w:t>
      </w:r>
      <w:r>
        <w:rPr>
          <w:rFonts w:ascii="Bookman Old Style" w:hAnsi="Bookman Old Style"/>
        </w:rPr>
        <w:t>е</w:t>
      </w:r>
      <w:r>
        <w:rPr>
          <w:rFonts w:ascii="Bookman Old Style" w:hAnsi="Bookman Old Style"/>
          <w:color w:val="00000A"/>
        </w:rPr>
        <w:t xml:space="preserve"> шампиньонов, овощей и зелени</w:t>
      </w:r>
      <w:r>
        <w:rPr>
          <w:rFonts w:ascii="Bookman Old Style" w:hAnsi="Bookman Old Style"/>
        </w:rPr>
        <w:t xml:space="preserve">, </w:t>
      </w:r>
      <w:r>
        <w:rPr>
          <w:rFonts w:ascii="Bookman Old Style" w:hAnsi="Bookman Old Style"/>
          <w:bCs/>
          <w:color w:val="00000A"/>
        </w:rPr>
        <w:t xml:space="preserve">Председатель Рак Виктор Иванович, </w:t>
      </w:r>
      <w:r>
        <w:rPr>
          <w:rFonts w:ascii="Bookman Old Style" w:hAnsi="Bookman Old Style"/>
          <w:color w:val="00000A"/>
          <w:shd w:fill="FFFFFF" w:val="clear"/>
        </w:rPr>
        <w:t>8-926-254-90-83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2.1.5.Отраслевая структура, % (легкая промышленность, пищевая, деревообрабатывающая, топливная, сельское хозяйство)- сельское хозяйство – 17,7 %,  промышленность – 60 %, здравоохранение — 7%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2.2.Основные виды экономической деятельности в сельском хозяйстве</w:t>
      </w:r>
      <w:r>
        <w:rPr>
          <w:rFonts w:cs="Bookman Old Style" w:ascii="Bookman Old Style" w:hAnsi="Bookman Old Style"/>
          <w:color w:val="000000"/>
          <w:sz w:val="24"/>
          <w:szCs w:val="24"/>
        </w:rPr>
        <w:t>- растениеводство, животноводство.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2.2.1.Валовая продукция (млн.руб.) – 501,9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2.2.2.Прирост объема продукции в сельском хозяйстве (%) – (3)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2.2.3.Продукция растениеводства (млн.руб.) – 204,5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2.2.4.Продукция животноводства (млн.руб.) – 297,4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2.2.5.Количество сельскохозяйственных предприятий (ед.) - 13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2.2.6.Количество фермерских хозяйств (ед.) - 6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2.3.Структура посевных площадей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2.3.1.Зерновые культуры (тыс. га.) – 1,626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2.3.2.Картофель (тыс. га.) – нет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2.3.3.Овощи (тыс. га.) - нет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2.3.4.Многолетние травы, клевер, однолетние травы (тыс. га.) – 5,577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2.4.Инвестиции в основной капитал, всего (млн.руб.) </w:t>
      </w:r>
      <w:r>
        <w:rPr>
          <w:rFonts w:cs="Bookman Old Style" w:ascii="Bookman Old Style" w:hAnsi="Bookman Old Style"/>
          <w:sz w:val="24"/>
          <w:szCs w:val="24"/>
        </w:rPr>
        <w:t>– 74,5 ( за 2018г.)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2.4.1.Жилища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2.4.2.Здания (кроме жилых) и сооружения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2.4.3.Машины, оборудование, транспортные средства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2.4.4.Прочие инвестиции (млн.руб.) – н/д (на 01.02.2019)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2.5.Занятость населения и трудовые ресурсы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2.5.1.Численность трудовых ресурсов (тыс.чел.) – 4,7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2.5.2.Численность занятых в экономике всего (тыс.чел.) – 3,6500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03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2.5.3.</w:t>
      </w:r>
      <w:r>
        <w:rPr>
          <w:rFonts w:cs="Bookman Old Style" w:ascii="Bookman Old Style" w:hAnsi="Bookman Old Style"/>
          <w:spacing w:val="-4"/>
          <w:sz w:val="24"/>
          <w:szCs w:val="24"/>
        </w:rPr>
        <w:t>Численность работников предприятий и организаций всего (тыс.чел.) – 1,9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2.5.4.Численность работников предприятий и организаций бюджетной сферы (тыс. чел.) – 0,545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2.6.Малое предпринимательство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2.6.1.Количество малых предприятий (ед.) - 42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2.6.2.Количество частных предпринимателей (ед.) – 147, в том числе 14 - КФХ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mallCaps/>
          <w:sz w:val="24"/>
          <w:szCs w:val="24"/>
        </w:rPr>
        <w:t>2.6.3.</w:t>
      </w:r>
      <w:r>
        <w:rPr>
          <w:rFonts w:cs="Bookman Old Style" w:ascii="Bookman Old Style" w:hAnsi="Bookman Old Style"/>
          <w:sz w:val="24"/>
          <w:szCs w:val="24"/>
        </w:rPr>
        <w:t>Доля занятых в малом предпринимательстве в общей численности занятых (%) – 47%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2.6.4.Количество малых  предприятий по отраслям экономики (в промышленности, строительстве, торговле и общественном питании, другое)- платные услуги – 35 %, торговля – 35 %, промышленность – 30 %.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2.7.Общий объем розничного товарооборота, включая общественное питание (млн.руб.) </w:t>
      </w:r>
      <w:r>
        <w:rPr>
          <w:rFonts w:cs="Bookman Old Style" w:ascii="Bookman Old Style" w:hAnsi="Bookman Old Style"/>
          <w:sz w:val="24"/>
          <w:szCs w:val="24"/>
        </w:rPr>
        <w:t>– 538,166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2.8.Общий объем реализации платных услуг населению (млн.руб.) </w:t>
      </w:r>
      <w:r>
        <w:rPr>
          <w:rFonts w:cs="Bookman Old Style" w:ascii="Bookman Old Style" w:hAnsi="Bookman Old Style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i/>
          <w:iCs/>
          <w:sz w:val="24"/>
          <w:szCs w:val="24"/>
        </w:rPr>
        <w:t>73,189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i/>
          <w:i/>
          <w:i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2.9.Торговля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2.9.1.Розничный товарооборот на 1 жителя (тыс.руб. на 1 жителя) – 65,85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2.9.2.Количество организаций розничной торговли (магазины, палатки) на 1000 жителей (число организаций на 1000 жителей) – 8,8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2.9.3.Количество торговых мест на вещевых, смешанных и продовольственных рынках на 1000 жителей (ед.): – нет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2.10.Транспортные услуги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2.10.1.Установленный тариф на 1 поездку на пассажирском транспорте по внутригородскому, пригородному и междугороднему маршрутам, (руб.) - 2,34 (с 01.01.2016).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32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2.11.Жилье и его доступность</w:t>
      </w:r>
    </w:p>
    <w:p>
      <w:pPr>
        <w:pStyle w:val="Normal"/>
        <w:pBdr>
          <w:left w:val="single" w:sz="4" w:space="0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2.11.1.Обеспеченность жильём (кв. м. на 1 жителя) – 36,92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2.11.2.Ввод нового жилья (кв. м. на 1000 жителей) – 95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2.11.3.Доля ветхого жилищного фонда во всем жилищном фонде (%):– 0,06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2.11.4.Среднерыночная стоимость 1 кв.м. жилья — 30,0 тыс.руб.</w:t>
      </w:r>
    </w:p>
    <w:p>
      <w:pPr>
        <w:pStyle w:val="Normal"/>
        <w:pBdr>
          <w:left w:val="single" w:sz="4" w:space="0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55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2.12.Присоединенная мощность потребителей электроэнергии (МВт) </w:t>
      </w:r>
      <w:r>
        <w:rPr>
          <w:rFonts w:cs="Bookman Old Style" w:ascii="Bookman Old Style" w:hAnsi="Bookman Old Style"/>
          <w:color w:val="000000"/>
          <w:sz w:val="24"/>
          <w:szCs w:val="24"/>
        </w:rPr>
        <w:t>- 9,6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pacing w:val="-6"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2.13.Резерв по увеличению потребляемой мощности электроэнергии (МВт)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2.14.Потребление газа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2.14.1.за год (куб. м.) – </w:t>
      </w:r>
      <w:r>
        <w:rPr>
          <w:rFonts w:cs="Bookman Old Style" w:ascii="Bookman Old Style" w:hAnsi="Bookman Old Style"/>
          <w:color w:val="000000"/>
          <w:sz w:val="24"/>
          <w:szCs w:val="24"/>
          <w:lang w:val="ru-RU"/>
        </w:rPr>
        <w:t>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2.14.2.за сутки (куб. м.) - н.д.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2.15.Резерв по увеличению объемов потребления газа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2.15.1.за год (куб. м.) - 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2.15.2.за сутки (куб. м.) - 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2.16.Потребление воды (куб. м.) </w:t>
      </w:r>
      <w:r>
        <w:rPr>
          <w:rFonts w:cs="Bookman Old Style" w:ascii="Bookman Old Style" w:hAnsi="Bookman Old Style"/>
          <w:color w:val="000000"/>
          <w:sz w:val="24"/>
          <w:szCs w:val="24"/>
        </w:rPr>
        <w:t>– н.д.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2.17.Резерв по увеличению объемов потребления воды (куб. м.)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2.18.Мощность очистных сооружений (куб. м. в сутки)</w:t>
      </w: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 - 870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2.19.Резервная мощность очистных сооружений (куб. м. в сутки)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2.20.Потребление тепловой энергии (Гкал) – 7910,0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187" w:leader="none"/>
        </w:tabs>
        <w:ind w:right="-83" w:hanging="0"/>
        <w:jc w:val="center"/>
        <w:rPr>
          <w:rFonts w:ascii="Bookman Old Style" w:hAnsi="Bookman Old Style" w:cs="Bookman Old Style"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3. ИНФРАСТРУКТУРА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3.1.Наименования основных транспортных магистралей</w:t>
      </w:r>
      <w:r>
        <w:rPr>
          <w:rFonts w:cs="Bookman Old Style" w:ascii="Bookman Old Style" w:hAnsi="Bookman Old Style"/>
          <w:sz w:val="24"/>
          <w:szCs w:val="24"/>
        </w:rPr>
        <w:t>: Ростов – Иваново – Нижний Новгород (38,7 км на территории района)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протяженность автомобильных дорог (км.) – 339,11 (инвентаризация 2010 г.)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3.1.2.протяженность автомобильных дорог с твердым покрытием (км.) - 186,6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3.2.Железнодорожный транспорт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3.2.1.наличие грузовых ж/д станций (ед.)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3.2.2.наименование станций - нет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02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3.3.Связь и телекоммуникации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3.3.1.наименования организаций, предоставляющих услуги мобильной связи –</w:t>
      </w:r>
      <w:r>
        <w:rPr>
          <w:rFonts w:cs="Bookman Old Style" w:ascii="Bookman Old Style" w:hAnsi="Bookman Old Style"/>
          <w:sz w:val="24"/>
          <w:szCs w:val="24"/>
          <w:lang w:val="en-US"/>
        </w:rPr>
        <w:t>Smarts</w:t>
      </w:r>
      <w:r>
        <w:rPr>
          <w:rFonts w:cs="Bookman Old Style" w:ascii="Bookman Old Style" w:hAnsi="Bookman Old Style"/>
          <w:sz w:val="24"/>
          <w:szCs w:val="24"/>
        </w:rPr>
        <w:t xml:space="preserve">-Иваново, </w:t>
      </w:r>
      <w:r>
        <w:rPr>
          <w:rFonts w:cs="Bookman Old Style" w:ascii="Bookman Old Style" w:hAnsi="Bookman Old Style"/>
          <w:sz w:val="24"/>
          <w:szCs w:val="24"/>
          <w:lang w:val="en-US"/>
        </w:rPr>
        <w:t>Beeline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MTS</w:t>
      </w:r>
      <w:r>
        <w:rPr>
          <w:rFonts w:cs="Bookman Old Style" w:ascii="Bookman Old Style" w:hAnsi="Bookman Old Style"/>
          <w:sz w:val="24"/>
          <w:szCs w:val="24"/>
        </w:rPr>
        <w:t xml:space="preserve">, </w:t>
      </w:r>
      <w:r>
        <w:rPr>
          <w:rFonts w:cs="Bookman Old Style" w:ascii="Bookman Old Style" w:hAnsi="Bookman Old Style"/>
          <w:sz w:val="24"/>
          <w:szCs w:val="24"/>
          <w:lang w:val="en-US"/>
        </w:rPr>
        <w:t>MegaFon</w:t>
      </w:r>
      <w:r>
        <w:rPr>
          <w:rFonts w:cs="Bookman Old Style" w:ascii="Bookman Old Style" w:hAnsi="Bookman Old Style"/>
          <w:sz w:val="24"/>
          <w:szCs w:val="24"/>
        </w:rPr>
        <w:t>.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3.3.2.наименование организаций, предоставляющих услуги доступа в Интернет - ЛТУ  п. Ильинское МЦТЭТ г. Тейково Ивановский филиал ОАО «Ростелеком»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50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3.3.3.число зарегистрированных домашних телефонов на 1000 жителей (единиц/1000 жителей) - 200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3.3.4.городской сети (единиц /1000 жителей) - 220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3.3.5.сельской сети (единиц / 1000 жителей) - 190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</w:t>
      </w:r>
      <w:r>
        <w:rPr>
          <w:rFonts w:cs="Bookman Old Style" w:ascii="Bookman Old Style" w:hAnsi="Bookman Old Style"/>
          <w:b/>
          <w:bCs/>
          <w:i/>
          <w:iCs/>
          <w:sz w:val="24"/>
          <w:szCs w:val="24"/>
        </w:rPr>
        <w:t>.</w:t>
      </w:r>
      <w:r>
        <w:rPr>
          <w:rFonts w:cs="Bookman Old Style" w:ascii="Bookman Old Style" w:hAnsi="Bookman Old Style"/>
          <w:b/>
          <w:bCs/>
          <w:sz w:val="24"/>
          <w:szCs w:val="24"/>
        </w:rPr>
        <w:t>4.Финансовые организации (включая филиалы)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3.4.1.количество банков (ед.) - 2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3.4.2.</w:t>
      </w:r>
      <w:r>
        <w:rPr>
          <w:rFonts w:cs="Bookman Old Style" w:ascii="Bookman Old Style" w:hAnsi="Bookman Old Style"/>
          <w:spacing w:val="-6"/>
          <w:sz w:val="24"/>
          <w:szCs w:val="24"/>
        </w:rPr>
        <w:t xml:space="preserve">название банков </w:t>
      </w:r>
      <w:r>
        <w:rPr>
          <w:rFonts w:cs="Bookman Old Style" w:ascii="Bookman Old Style" w:hAnsi="Bookman Old Style"/>
          <w:sz w:val="24"/>
          <w:szCs w:val="24"/>
        </w:rPr>
        <w:t>– Ивановское ОСБ РФ (доп. офис № 8639/051); Ивановский региональный филиал ОАО «Россельхозбанк» (доп. офис)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3.5.Страховые компании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3.5.1.количество страховых компаний (ед) - 1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 xml:space="preserve">3.5.2.название страховых компаний – ООО «Росгосстрах» Филиал ООО «Росгосстрах» в Ивановской области» Страховой отдел в п. Ильинское.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3.6.Муниципальная нежилая недвижимость и землепользование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3.6.1.Наличие реестра муниципальной нежилой недвижимости (да/нет) - да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94" w:leader="none"/>
        </w:tabs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3.6.2.</w:t>
      </w:r>
      <w:r>
        <w:rPr>
          <w:rFonts w:cs="Bookman Old Style" w:ascii="Bookman Old Style" w:hAnsi="Bookman Old Style"/>
          <w:spacing w:val="-6"/>
          <w:sz w:val="24"/>
          <w:szCs w:val="24"/>
        </w:rPr>
        <w:t>Наличие концепции управления муниципальной недвижимостью (да/нет) - да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61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3.6.3.План - схема земельных участков (объектов), для предложений инвесторам, с указанием границ, площади, коммуникаций (либо расстояние до точек возможной врезки), а также указать владельца (контактная информация) - план-схемы земельных участков прилагаются.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mallCaps/>
          <w:sz w:val="24"/>
          <w:szCs w:val="24"/>
        </w:rPr>
        <w:t>3.6.4.</w:t>
      </w:r>
      <w:r>
        <w:rPr>
          <w:rFonts w:cs="Bookman Old Style" w:ascii="Bookman Old Style" w:hAnsi="Bookman Old Style"/>
          <w:sz w:val="24"/>
          <w:szCs w:val="24"/>
        </w:rPr>
        <w:t xml:space="preserve">Две-три цветные фотографии участков (объектов). </w:t>
      </w:r>
      <w:r>
        <w:rPr>
          <w:rFonts w:cs="Bookman Old Style" w:ascii="Bookman Old Style" w:hAnsi="Bookman Old Style"/>
          <w:sz w:val="24"/>
          <w:szCs w:val="24"/>
          <w:u w:val="single"/>
        </w:rPr>
        <w:t>По возможности</w:t>
      </w:r>
      <w:r>
        <w:rPr>
          <w:rFonts w:cs="Bookman Old Style" w:ascii="Bookman Old Style" w:hAnsi="Bookman Old Style"/>
          <w:sz w:val="24"/>
          <w:szCs w:val="24"/>
        </w:rPr>
        <w:t>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3.7 Культурно - просветительное обслуживание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Число работающих объектов культурно-просветительного обслуживания на 1000 жителей (число объектов на 1000 жителей) – 2,97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3.7.2.Обеспеченность учреждениями культурно-досугового типа (учреждений на 100000 жителей) – 148,6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74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3.7.3.Обеспеченность общедоступными библиотеками (учреждений на 100000 жителей) – 136,2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90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3.7.4.Количество спортивно-оздоровительных учреждений (бассейнов, лыжных баз и т.д.) на 10000 жителей (тыс.кв.м.): залами – 6,2; плоскостными сооружениями – 12,38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3.8.Социальная защита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3.8.1.</w:t>
      </w:r>
      <w:r>
        <w:rPr>
          <w:rFonts w:cs="Bookman Old Style" w:ascii="Bookman Old Style" w:hAnsi="Bookman Old Style"/>
          <w:color w:val="000000"/>
          <w:sz w:val="24"/>
          <w:szCs w:val="24"/>
        </w:rPr>
        <w:t>Бюджетная обеспеченность по разделу «Социальная политика» на душу населения (руб.) 380,44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85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3.8.2.Доля малоимущих  граждан, зарегистрированных в органах социальной защиты населения от всех жителей (%) – 25%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3.8.3.Сумма выплат социальной помощи на одного получателя (руб. на 1 человека) – 705,00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3.9.Здравоохранение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3.9.1.Обеспеченность населения местами в больницах для стационарного лечения (коек на тыс. жителей) – 1,86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562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3.9.2.Обеспеченность населения услугами амбулаторно-клинических учреждений (посещений в смену на тыс. жителей) – 34,1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0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3.9.3.Численность врачей на тысячу человек (ед.) - 1,73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3.9.4.</w:t>
      </w:r>
      <w:r>
        <w:rPr>
          <w:rFonts w:cs="Bookman Old Style" w:ascii="Bookman Old Style" w:hAnsi="Bookman Old Style"/>
          <w:spacing w:val="-6"/>
          <w:sz w:val="24"/>
          <w:szCs w:val="24"/>
        </w:rPr>
        <w:t>Численность среднего медицинского персонала на тысячу человек (ед.) – 5,7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3.10.Образование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3.10.1.Количество детских садов, школ, учреждений профессионально-технического образования, высших учебных заведений: 2 средних общеобразовательных школы, 1 основная общеобразовательных школы, 1 начальная общеобразовательная школа, 2 детских сада.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360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3.11.Рынок жилья: гостиницы, общежития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3.11.1.Перечень основных гостиниц и общежитий – нет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3.11.2.Введено в эксплуатацию жилья за год (тыс.кв.м. общей площади) – 0,776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4. ОБЩИЕ ДАННЫЕ ДЛЯ РАСЧЕТОВ И ОБОСНОВАНИЙ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pacing w:val="-4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pacing w:val="-4"/>
          <w:sz w:val="24"/>
          <w:szCs w:val="24"/>
        </w:rPr>
        <w:t>4.1.Базовая ставка земельного налога по основным видам функционального назначения земель (руб./кв.м.</w:t>
      </w:r>
      <w:r>
        <w:rPr>
          <w:rFonts w:cs="Bookman Old Style" w:ascii="Bookman Old Style" w:hAnsi="Bookman Old Style"/>
          <w:b/>
          <w:bCs/>
          <w:i/>
          <w:iCs/>
          <w:smallCaps/>
          <w:color w:val="000000"/>
          <w:spacing w:val="-4"/>
          <w:sz w:val="24"/>
          <w:szCs w:val="24"/>
        </w:rPr>
        <w:t xml:space="preserve">) </w:t>
      </w:r>
      <w:r>
        <w:rPr>
          <w:rFonts w:cs="Bookman Old Style" w:ascii="Bookman Old Style" w:hAnsi="Bookman Old Style"/>
          <w:b/>
          <w:bCs/>
          <w:color w:val="000000"/>
          <w:spacing w:val="-4"/>
          <w:sz w:val="24"/>
          <w:szCs w:val="24"/>
        </w:rPr>
        <w:t>(либо порядок расчета величины налога):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отнесенных к землям с/х назначения;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занятых жилищным фондом и объектами инженерной инфраструктуры жилищно-коммунального комплекса;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0,3 % в отношении земельных участков, приобретенных (предоставленных) для личного подсобного хозяйства, садоводства, огородничества или животноводства, а также дачного строительства;</w:t>
      </w:r>
    </w:p>
    <w:p>
      <w:pPr>
        <w:pStyle w:val="Normal"/>
        <w:numPr>
          <w:ilvl w:val="0"/>
          <w:numId w:val="1"/>
        </w:numPr>
        <w:pBdr>
          <w:left w:val="single" w:sz="4" w:space="1" w:color="00000A"/>
        </w:pBdr>
        <w:shd w:val="clear" w:color="auto" w:fill="FFFFFF"/>
        <w:tabs>
          <w:tab w:val="left" w:pos="0" w:leader="none"/>
          <w:tab w:val="left" w:pos="274" w:leader="none"/>
        </w:tabs>
        <w:ind w:left="0" w:right="-83" w:hanging="11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1,5 % в отношени</w:t>
      </w:r>
      <w:bookmarkStart w:id="0" w:name="_GoBack"/>
      <w:bookmarkEnd w:id="0"/>
      <w:r>
        <w:rPr>
          <w:rFonts w:cs="Bookman Old Style" w:ascii="Bookman Old Style" w:hAnsi="Bookman Old Style"/>
          <w:color w:val="000000"/>
          <w:sz w:val="24"/>
          <w:szCs w:val="24"/>
        </w:rPr>
        <w:t>и прочих земельных участков.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4.2.Средний по району/округу показатель кадастровой стоимости земельного участка по категориям земель и по основным видам функционального использования, (руб./кв.м.):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4.2.1.Всего (руб./кв.м.)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а) земли с/х назначения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1 группа – 1,49 (с/х угодья), 2 группа – нет (занятые внутрихозяйственными дорогами), 3 группа – 0,32 (под замкнутыми водоемами), 4 группа – нет (под древесно-кустарниковой растительностью), 5 группа – нет (под лесами), 6 группа -0,24;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б) земли промышленности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pacing w:val="-8"/>
          <w:sz w:val="24"/>
          <w:szCs w:val="24"/>
        </w:rPr>
      </w:pPr>
      <w:r>
        <w:rPr>
          <w:rFonts w:cs="Bookman Old Style" w:ascii="Bookman Old Style" w:hAnsi="Bookman Old Style"/>
          <w:color w:val="000000"/>
          <w:spacing w:val="-8"/>
          <w:sz w:val="24"/>
          <w:szCs w:val="24"/>
        </w:rPr>
        <w:t>2 группа – 11,21 (административные здания), 4 группа – 0,62 (полезные ископаемые);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в) земли поселений</w:t>
        <w:tab/>
        <w:tab/>
        <w:tab/>
        <w:tab/>
        <w:tab/>
        <w:t>пос. Ильинское</w:t>
        <w:tab/>
      </w:r>
      <w:r>
        <w:rPr>
          <w:rFonts w:cs="Bookman Old Style" w:ascii="Bookman Old Style" w:hAnsi="Bookman Old Style"/>
          <w:color w:val="000000"/>
          <w:spacing w:val="-20"/>
          <w:sz w:val="24"/>
          <w:szCs w:val="24"/>
        </w:rPr>
        <w:t>Сельские поселения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домами многоэтажной застройки</w:t>
        <w:tab/>
        <w:tab/>
        <w:tab/>
        <w:t>2353,00</w:t>
        <w:tab/>
        <w:tab/>
        <w:t>н/д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домами индивидуальной жилой застройки</w:t>
        <w:tab/>
        <w:t>188,22</w:t>
        <w:tab/>
        <w:tab/>
        <w:t>96,54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земли гаражей и автостоянок</w:t>
        <w:tab/>
        <w:tab/>
        <w:tab/>
        <w:tab/>
        <w:t>2735,25</w:t>
        <w:tab/>
        <w:tab/>
        <w:t>2356,84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>под объектами торговли, общественного питания,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бытового обслуживания</w:t>
        <w:tab/>
        <w:tab/>
        <w:tab/>
        <w:tab/>
        <w:tab/>
        <w:t>217,88</w:t>
        <w:tab/>
        <w:tab/>
        <w:t>208,44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под промышленными объектами</w:t>
        <w:tab/>
        <w:tab/>
        <w:tab/>
        <w:tab/>
        <w:t>933,62</w:t>
        <w:tab/>
        <w:tab/>
        <w:t>947,69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под административно-управленческими и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74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социальными объектами</w:t>
        <w:tab/>
        <w:tab/>
        <w:tab/>
        <w:tab/>
        <w:tab/>
        <w:t>890,71</w:t>
        <w:tab/>
        <w:tab/>
        <w:t>651,38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4.2.2.Формы представления земли инвесторам: аренда, собственность.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4.3.</w:t>
      </w: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Арендная плата за землю по основным видам функционального назначения земель (руб. за кв.м.) (либо порядок ее определения)</w:t>
      </w: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 xml:space="preserve"> – см. приложение №1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4.4.Ставка земельного налога под производственными постройками, сооружениями предприятий, организаций: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000000"/>
          <w:sz w:val="24"/>
          <w:szCs w:val="24"/>
        </w:rPr>
        <w:t>4.4.1.Всего (руб./кв.м.) - 1,5 % от кадастровой стоимости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4.5.Цены на водоснабжение и канализацию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spacing w:val="-10"/>
          <w:sz w:val="24"/>
          <w:szCs w:val="24"/>
        </w:rPr>
        <w:t>4.5.1.</w:t>
      </w:r>
    </w:p>
    <w:tbl>
      <w:tblPr>
        <w:tblW w:w="10772" w:type="dxa"/>
        <w:jc w:val="left"/>
        <w:tblInd w:w="30" w:type="dxa"/>
        <w:tblBorders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21" w:type="dxa"/>
          <w:bottom w:w="55" w:type="dxa"/>
          <w:right w:w="55" w:type="dxa"/>
        </w:tblCellMar>
      </w:tblPr>
      <w:tblGrid>
        <w:gridCol w:w="7260"/>
        <w:gridCol w:w="1755"/>
        <w:gridCol w:w="1757"/>
      </w:tblGrid>
      <w:tr>
        <w:trPr/>
        <w:tc>
          <w:tcPr>
            <w:tcW w:w="7260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Ильинское городское поселение</w:t>
            </w:r>
          </w:p>
        </w:tc>
        <w:tc>
          <w:tcPr>
            <w:tcW w:w="1755" w:type="dxa"/>
            <w:tcBorders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водоснабжение</w:t>
            </w:r>
          </w:p>
        </w:tc>
        <w:tc>
          <w:tcPr>
            <w:tcW w:w="1757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водоотведение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 xml:space="preserve">МУП «ЖКХ (Ильинское) Ильинского муниципального района 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52,32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35,94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Аньковское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МУП «ЖКХ (Аньково) Ильинского муниципального района»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52,83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36,62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ОАО «Аньковское»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23,96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8,96</w:t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Ивашевское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МУП «ЖКХ (Ивашево) Ильинского муниципального района»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54,17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Исаевское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bookmarkStart w:id="1" w:name="__DdeLink__1859_1364597659"/>
            <w:bookmarkEnd w:id="1"/>
            <w:r>
              <w:rPr/>
              <w:t>МУП РМПО ЖКХ Ильинское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43,02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>
                <w:b/>
                <w:b/>
                <w:bCs/>
              </w:rPr>
            </w:pPr>
            <w:r>
              <w:rPr>
                <w:b/>
                <w:bCs/>
              </w:rPr>
              <w:t>Щенниковское сельское поселение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  <w:tr>
        <w:trPr/>
        <w:tc>
          <w:tcPr>
            <w:tcW w:w="72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>
                <w:b w:val="false"/>
                <w:b w:val="false"/>
                <w:bCs w:val="false"/>
              </w:rPr>
            </w:pPr>
            <w:r>
              <w:rPr>
                <w:b w:val="false"/>
                <w:bCs w:val="false"/>
              </w:rPr>
              <w:t>МУП РМПО ЖКХ Ильинское</w:t>
            </w:r>
          </w:p>
        </w:tc>
        <w:tc>
          <w:tcPr>
            <w:tcW w:w="175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  <w:t>35,44</w:t>
            </w:r>
          </w:p>
        </w:tc>
        <w:tc>
          <w:tcPr>
            <w:tcW w:w="17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21" w:type="dxa"/>
            </w:tcMar>
          </w:tcPr>
          <w:p>
            <w:pPr>
              <w:pStyle w:val="Style24"/>
              <w:rPr/>
            </w:pPr>
            <w:r>
              <w:rPr/>
            </w:r>
          </w:p>
        </w:tc>
      </w:tr>
    </w:tbl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69" w:leader="none"/>
        </w:tabs>
        <w:ind w:right="-83" w:hanging="0"/>
        <w:jc w:val="both"/>
        <w:rPr>
          <w:rFonts w:ascii="Bookman Old Style" w:hAnsi="Bookman Old Style" w:cs="Bookman Old Style"/>
          <w:spacing w:val="-10"/>
          <w:sz w:val="24"/>
          <w:szCs w:val="24"/>
        </w:rPr>
      </w:pPr>
      <w:r>
        <w:rPr>
          <w:rFonts w:cs="Bookman Old Style" w:ascii="Bookman Old Style" w:hAnsi="Bookman Old Style"/>
          <w:spacing w:val="-1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6"/>
          <w:sz w:val="24"/>
          <w:szCs w:val="24"/>
          <w:u w:val="none"/>
        </w:rPr>
        <w:t xml:space="preserve">4.6.Льготы местного налогообложения -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на арендаторов земельных участков распространяются льготы, применяемые при налогообложении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-  за пользование земельными участками, государственная собственность на которые не разграничена, расположенными на территории Ильинского муниципального района, указанные в Порядке определения размера арендной платы за предоставленные в аренду без торгов земельные участки, находящиеся в собственности Ивановской области и земельные участки, государственная собственность на которые не разграничена, утвержденном Постановлением Правительства Ивановской области №225-п от 25.08.2008г. (в ред. Постановлений Правительства Ивановской области от 13.03.2009 </w:t>
      </w:r>
      <w:hyperlink r:id="rId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pacing w:val="-4"/>
            <w:sz w:val="24"/>
            <w:szCs w:val="24"/>
            <w:u w:val="none"/>
          </w:rPr>
          <w:t>N 59-п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, </w:t>
      </w:r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от 05.02.2010 </w:t>
      </w:r>
      <w:hyperlink r:id="rId6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16-п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22.12.2010 </w:t>
      </w:r>
      <w:hyperlink r:id="rId7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462-п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02.02.2011 </w:t>
      </w:r>
      <w:hyperlink r:id="rId8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05.10.2011 </w:t>
      </w:r>
      <w:hyperlink r:id="rId9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347-п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09.11.2011 </w:t>
      </w:r>
      <w:hyperlink r:id="rId10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402-п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09.08.2012 </w:t>
      </w:r>
      <w:hyperlink r:id="rId11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298-п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28.12.2012 </w:t>
      </w:r>
      <w:hyperlink r:id="rId12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574-п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02.07.2013 </w:t>
      </w:r>
      <w:hyperlink r:id="rId13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253-п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26.07.2013 </w:t>
      </w:r>
      <w:hyperlink r:id="rId14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300-п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21.08.2014 </w:t>
      </w:r>
      <w:hyperlink r:id="rId15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352-п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25.12.2014 </w:t>
      </w:r>
      <w:hyperlink r:id="rId16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586-п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07.04.2015 </w:t>
      </w:r>
      <w:hyperlink r:id="rId17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109-п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21.12.2016 </w:t>
      </w:r>
      <w:hyperlink r:id="rId18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427-п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07.03.2018 </w:t>
      </w:r>
      <w:hyperlink r:id="rId19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58-п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с изм., внесенными Апелляционным </w:t>
      </w:r>
      <w:hyperlink r:id="rId20">
        <w:r>
          <w:rPr>
            <w:rStyle w:val="Style13"/>
            <w:rFonts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определением</w:t>
        </w:r>
      </w:hyperlink>
      <w:r>
        <w:rPr>
          <w:rFonts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Верховного Суда РФ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от 01.08.2016 N 7-АПГ16-1);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>-  за пользование земельными участками, находящимися в собственности Ильинского муниципального района, указанные  в Порядке определения размера арендной платы за предоставленные в аренду без торгов земельные участки, находящиеся в собственности Ильинского муниципального района, утвержденного Решением Совета Ильинского муниципального района № 136 от 30.03.2017 г. (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в ред. Решения Совета Ильинского муниципального района от 25.12.2018г. </w:t>
      </w:r>
      <w:hyperlink r:id="rId21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№</w:t>
        </w:r>
      </w:hyperlink>
      <w:r>
        <w:rPr>
          <w:rStyle w:val="Style13"/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224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).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>4.7.Арендная плата за нежилые помещения (муниципальная собственность) (руб./кв.м в год</w:t>
      </w:r>
      <w:r>
        <w:rPr>
          <w:rFonts w:cs="Bookman Old Style" w:ascii="Bookman Old Style" w:hAnsi="Bookman Old Style"/>
          <w:b/>
          <w:bCs/>
          <w:smallCaps/>
          <w:color w:val="000000"/>
          <w:sz w:val="24"/>
          <w:szCs w:val="24"/>
        </w:rPr>
        <w:t xml:space="preserve">) </w:t>
      </w:r>
      <w:r>
        <w:rPr>
          <w:rFonts w:cs="Bookman Old Style" w:ascii="Bookman Old Style" w:hAnsi="Bookman Old Style"/>
          <w:smallCaps/>
          <w:color w:val="000000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color w:val="000000"/>
          <w:sz w:val="24"/>
          <w:szCs w:val="24"/>
        </w:rPr>
        <w:t>в размере не ниже рыночной величины арендной платы, определенной оценщиком в соответствии с Федеральным законом от 29.07.1998 г. №135-ФЗ «Об оценочной деятельности в Российской Федерации», Решение Совета Ильинского муниципального района 12.10.2012. № 153 «Об определении размера арендной платы за пользование имуществом, находящимся в муниципальной собственности Ильинского муниципального района Ивановской области».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color w:val="000000"/>
          <w:spacing w:val="-6"/>
          <w:sz w:val="24"/>
          <w:szCs w:val="24"/>
        </w:rPr>
        <w:t>4.8.Нормативные акты, определяющие величину земельного налога и арендной платы за земельный участок (либо определяющие порядок их расчета):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i/>
          <w:iCs/>
          <w:color w:val="000000"/>
          <w:sz w:val="24"/>
          <w:szCs w:val="24"/>
          <w:u w:val="single"/>
        </w:rPr>
        <w:t>Арендная плата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b/>
          <w:bCs/>
          <w:color w:val="800000"/>
          <w:sz w:val="24"/>
          <w:szCs w:val="24"/>
        </w:rPr>
        <w:t xml:space="preserve">–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Постановление Правительства Ивановской области №225-п от 25.08.2008г. (в ред. Постановлений Правительства Ивановской области от 13.03.2009 </w:t>
      </w:r>
      <w:hyperlink r:id="rId22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pacing w:val="-4"/>
            <w:sz w:val="24"/>
            <w:szCs w:val="24"/>
            <w:u w:val="none"/>
          </w:rPr>
          <w:t>N 59-п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,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от 05.02.2010 </w:t>
      </w:r>
      <w:hyperlink r:id="rId2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16-п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22.12.2010 </w:t>
      </w:r>
      <w:hyperlink r:id="rId24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462-п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02.02.2011 </w:t>
      </w:r>
      <w:hyperlink r:id="rId2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05.10.2011 </w:t>
      </w:r>
      <w:hyperlink r:id="rId26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347-п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09.11.2011 </w:t>
      </w:r>
      <w:hyperlink r:id="rId27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402-п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09.08.2012 </w:t>
      </w:r>
      <w:hyperlink r:id="rId28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298-п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28.12.2012 </w:t>
      </w:r>
      <w:hyperlink r:id="rId29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574-п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02.07.2013 </w:t>
      </w:r>
      <w:hyperlink r:id="rId30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253-п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26.07.2013 </w:t>
      </w:r>
      <w:hyperlink r:id="rId31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300-п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21.08.2014 </w:t>
      </w:r>
      <w:hyperlink r:id="rId32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352-п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25.12.2014 </w:t>
      </w:r>
      <w:hyperlink r:id="rId33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586-п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07.04.2015 </w:t>
      </w:r>
      <w:hyperlink r:id="rId34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109-п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21.12.2016 </w:t>
      </w:r>
      <w:hyperlink r:id="rId35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427-п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от 07.03.2018 </w:t>
      </w:r>
      <w:hyperlink r:id="rId36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N 58-п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, с изм., внесенными Апелляционным </w:t>
      </w:r>
      <w:hyperlink r:id="rId37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определением</w:t>
        </w:r>
      </w:hyperlink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Верховного Суда РФ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  <w:u w:val="none"/>
        </w:rPr>
        <w:t xml:space="preserve">от 01.08.2016 N 7-АПГ16-1); </w:t>
      </w:r>
      <w:r>
        <w:rPr>
          <w:rFonts w:cs="Bookman Old Style" w:ascii="Bookman Old Style" w:hAnsi="Bookman Old Style"/>
          <w:b w:val="false"/>
          <w:bCs w:val="false"/>
          <w:color w:val="000000"/>
          <w:spacing w:val="-4"/>
          <w:sz w:val="24"/>
          <w:szCs w:val="24"/>
        </w:rPr>
        <w:t>Решение Совета Ильинского муниципального района № 136 от 30.03.2017 г. (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ред. Решения Совета Ильинского муниципального района от 25.12.2018г.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 xml:space="preserve"> </w:t>
      </w:r>
      <w:hyperlink r:id="rId38">
        <w:r>
          <w:rPr>
            <w:rStyle w:val="Style13"/>
            <w:rFonts w:cs="Bookman Old Style" w:ascii="Bookman Old Style" w:hAnsi="Bookman Old Style"/>
            <w:b w:val="false"/>
            <w:bCs w:val="false"/>
            <w:color w:val="000000"/>
            <w:sz w:val="24"/>
            <w:szCs w:val="24"/>
            <w:u w:val="none"/>
          </w:rPr>
          <w:t>№</w:t>
        </w:r>
      </w:hyperlink>
      <w:r>
        <w:rPr>
          <w:rStyle w:val="Style13"/>
          <w:rFonts w:cs="Bookman Old Style" w:ascii="Bookman Old Style" w:hAnsi="Bookman Old Style"/>
          <w:b w:val="false"/>
          <w:bCs w:val="false"/>
          <w:color w:val="000000"/>
          <w:sz w:val="24"/>
          <w:szCs w:val="24"/>
          <w:u w:val="none"/>
        </w:rPr>
        <w:t>224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).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88" w:leader="none"/>
        </w:tabs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/>
          <w:bCs/>
          <w:i/>
          <w:iCs/>
          <w:color w:val="000000"/>
          <w:sz w:val="24"/>
          <w:szCs w:val="24"/>
          <w:u w:val="single"/>
        </w:rPr>
        <w:t>Земельный налог</w:t>
      </w:r>
      <w:r>
        <w:rPr>
          <w:rFonts w:cs="Bookman Old Style" w:ascii="Bookman Old Style" w:hAnsi="Bookman Old Style"/>
          <w:b/>
          <w:bCs/>
          <w:color w:val="000000"/>
          <w:sz w:val="24"/>
          <w:szCs w:val="24"/>
        </w:rPr>
        <w:t xml:space="preserve"> –</w:t>
      </w:r>
      <w:r>
        <w:rPr>
          <w:rFonts w:cs="Bookman Old Style" w:ascii="Bookman Old Style" w:hAnsi="Bookman Old Style"/>
          <w:color w:val="000000"/>
          <w:sz w:val="24"/>
          <w:szCs w:val="24"/>
        </w:rPr>
        <w:t xml:space="preserve"> </w:t>
      </w:r>
      <w:r>
        <w:rPr>
          <w:rFonts w:cs="Bookman Old Style" w:ascii="Bookman Old Style" w:hAnsi="Bookman Old Style"/>
          <w:color w:val="000000"/>
          <w:spacing w:val="-6"/>
          <w:sz w:val="24"/>
          <w:szCs w:val="24"/>
        </w:rPr>
        <w:t>Решение Совета Исаевского сельского поселения № 98 от 26.04.2018 г.; Решение Совета Ивашевского сельского поселения № 98 от 18.10.2017 г.; Решение Совета Щенниковского сельского поселения № 100 от 03.11.2017 г.; Решение Совета Аньковского сельского поселения № 21 от 28.10.2015 г.; Решения Совета Ильинского городского поселения № 200 от 08.11.2018 г.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5. ИНВЕСТИЦИОННАЯ ПОЛИТИКА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5.1.Инвестиции в основной капитал за счет всех источников финансирования, всего (тыс.руб.) – 74500</w:t>
      </w:r>
      <w:r>
        <w:rPr>
          <w:rFonts w:cs="Bookman Old Style" w:ascii="Bookman Old Style" w:hAnsi="Bookman Old Style"/>
          <w:sz w:val="24"/>
          <w:szCs w:val="24"/>
        </w:rPr>
        <w:t>,00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5.1.1.</w:t>
      </w:r>
      <w:r>
        <w:rPr>
          <w:rFonts w:cs="Bookman Old Style" w:ascii="Bookman Old Style" w:hAnsi="Bookman Old Style"/>
          <w:spacing w:val="-6"/>
          <w:sz w:val="24"/>
          <w:szCs w:val="24"/>
        </w:rPr>
        <w:t>Инвестиции по крупным и средним предприятиям и организациям (тыс.руб.) – 23181</w:t>
      </w:r>
      <w:r>
        <w:rPr>
          <w:rFonts w:cs="Bookman Old Style" w:ascii="Bookman Old Style" w:hAnsi="Bookman Old Style"/>
          <w:sz w:val="24"/>
          <w:szCs w:val="24"/>
        </w:rPr>
        <w:t>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5.1.4.Инвестиции в основной капитал по видам экономической деятельности (тыс.руб.): </w:t>
      </w:r>
      <w:r>
        <w:rPr>
          <w:rFonts w:cs="Bookman Old Style" w:ascii="Bookman Old Style" w:hAnsi="Bookman Old Style"/>
          <w:i/>
          <w:iCs/>
          <w:sz w:val="24"/>
          <w:szCs w:val="24"/>
        </w:rPr>
        <w:t>(на 01.02.19 нет разбивки)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Сельское хозяйство, охота и лесное хозяйство – 51300,0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Обрабатывающие производства – 7800,0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Государственное управление и обеспечение военной безопасности, обязательное социальное обеспечение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Образование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Занятость населения – н/д</w:t>
      </w:r>
    </w:p>
    <w:p>
      <w:pPr>
        <w:pStyle w:val="Normal"/>
        <w:pBdr>
          <w:left w:val="single" w:sz="4" w:space="1" w:color="00000A"/>
        </w:pBdr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- Здравоохранение и предоставление социальных услуг – н/д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5.2.Инвестиции в промышленность</w:t>
      </w:r>
      <w:r>
        <w:rPr>
          <w:rFonts w:cs="Bookman Old Style" w:ascii="Bookman Old Style" w:hAnsi="Bookman Old Style"/>
          <w:sz w:val="24"/>
          <w:szCs w:val="24"/>
        </w:rPr>
        <w:t xml:space="preserve"> (тыс. руб.) – н/д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pacing w:val="-6"/>
          <w:sz w:val="24"/>
          <w:szCs w:val="24"/>
        </w:rPr>
      </w:pPr>
      <w:r>
        <w:rPr>
          <w:rFonts w:cs="Bookman Old Style" w:ascii="Bookman Old Style" w:hAnsi="Bookman Old Style"/>
          <w:spacing w:val="-6"/>
          <w:sz w:val="24"/>
          <w:szCs w:val="24"/>
        </w:rPr>
        <w:t>по виду экономической деятельности «</w:t>
      </w:r>
      <w:r>
        <w:rPr>
          <w:rFonts w:cs="Bookman Old Style" w:ascii="Bookman Old Style" w:hAnsi="Bookman Old Style"/>
          <w:b/>
          <w:bCs/>
          <w:spacing w:val="-6"/>
          <w:sz w:val="24"/>
          <w:szCs w:val="24"/>
        </w:rPr>
        <w:t>Обрабатывающие производства</w:t>
      </w:r>
      <w:r>
        <w:rPr>
          <w:rFonts w:cs="Bookman Old Style" w:ascii="Bookman Old Style" w:hAnsi="Bookman Old Style"/>
          <w:spacing w:val="-6"/>
          <w:sz w:val="24"/>
          <w:szCs w:val="24"/>
        </w:rPr>
        <w:t>», из них:</w:t>
      </w:r>
    </w:p>
    <w:p>
      <w:pPr>
        <w:pStyle w:val="Normal"/>
        <w:pBdr>
          <w:left w:val="single" w:sz="4" w:space="1" w:color="00000A"/>
        </w:pBdr>
        <w:rPr/>
      </w:pPr>
      <w:r>
        <w:rPr>
          <w:rFonts w:cs="Bookman Old Style" w:ascii="Bookman Old Style" w:hAnsi="Bookman Old Style"/>
          <w:sz w:val="24"/>
          <w:szCs w:val="24"/>
        </w:rPr>
        <w:t>- производство пищевых продуктов, включая напитки и табака – 7800,0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5.3.Инвестиции в основной капитал крупных и средних предприятий и организаций по источникам финансирования </w:t>
      </w:r>
      <w:r>
        <w:rPr>
          <w:rFonts w:cs="Bookman Old Style" w:ascii="Bookman Old Style" w:hAnsi="Bookman Old Style"/>
          <w:i/>
          <w:iCs/>
          <w:sz w:val="24"/>
          <w:szCs w:val="24"/>
        </w:rPr>
        <w:t>(на 01.02.19 нет разбивки)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5.3.1.Собственные средства, всего (тыс.руб.) – 17471,0</w:t>
      </w:r>
    </w:p>
    <w:p>
      <w:pPr>
        <w:pStyle w:val="Normal"/>
        <w:pBdr>
          <w:left w:val="single" w:sz="4" w:space="1" w:color="00000A"/>
        </w:pBdr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в т.ч. прибыль, остающаяся в распоряжении организации (тыс. руб.)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5.3.2.Привлеченные средства, всего (тыс.руб.) – 5710,0 в т.ч.: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5.3.2.1.Кредиты банков (тыс.руб.) –0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5.3.2.2. Заемные средства других организаций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5.3.2.3.Бюджетные средства, всего (тыс.руб.) – 4003,0, из них: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Федеральный бюджет (тыс.руб.) – 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 xml:space="preserve">- </w:t>
      </w:r>
      <w:r>
        <w:rPr>
          <w:rFonts w:cs="Bookman Old Style" w:ascii="Bookman Old Style" w:hAnsi="Bookman Old Style"/>
          <w:spacing w:val="-6"/>
          <w:sz w:val="24"/>
          <w:szCs w:val="24"/>
        </w:rPr>
        <w:t>Бюджет субъекта Российской Федерации и местный бюджет (тыс.руб.)</w:t>
      </w:r>
      <w:r>
        <w:rPr>
          <w:rFonts w:cs="Bookman Old Style" w:ascii="Bookman Old Style" w:hAnsi="Bookman Old Style"/>
          <w:sz w:val="24"/>
          <w:szCs w:val="24"/>
        </w:rPr>
        <w:t xml:space="preserve"> – 4003,0</w:t>
      </w:r>
    </w:p>
    <w:p>
      <w:pPr>
        <w:pStyle w:val="Normal"/>
        <w:pBdr>
          <w:left w:val="single" w:sz="4" w:space="1" w:color="00000A"/>
        </w:pBdr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- Прочие (тыс.руб.) – 430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418" w:leader="none"/>
        </w:tabs>
        <w:ind w:right="-83" w:hanging="0"/>
        <w:jc w:val="both"/>
        <w:rPr>
          <w:rFonts w:ascii="Bookman Old Style" w:hAnsi="Bookman Old Style" w:cs="Bookman Old Style"/>
          <w:spacing w:val="2"/>
          <w:sz w:val="24"/>
          <w:szCs w:val="24"/>
        </w:rPr>
      </w:pPr>
      <w:r>
        <w:rPr>
          <w:rFonts w:cs="Bookman Old Style" w:ascii="Bookman Old Style" w:hAnsi="Bookman Old Style"/>
          <w:b/>
          <w:bCs/>
          <w:spacing w:val="2"/>
          <w:sz w:val="24"/>
          <w:szCs w:val="24"/>
        </w:rPr>
        <w:t xml:space="preserve">5.4.Прирост объема инвестиций в основной капитал из всех источников финансирования (%) </w:t>
      </w:r>
      <w:r>
        <w:rPr>
          <w:rFonts w:cs="Bookman Old Style" w:ascii="Bookman Old Style" w:hAnsi="Bookman Old Style"/>
          <w:spacing w:val="2"/>
          <w:sz w:val="24"/>
          <w:szCs w:val="24"/>
        </w:rPr>
        <w:t xml:space="preserve">– 85,7 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93" w:leader="none"/>
        </w:tabs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 xml:space="preserve">5.5.Доля инвестиций из собственных средств в основной капитал (%) </w:t>
      </w:r>
      <w:r>
        <w:rPr>
          <w:rFonts w:cs="Bookman Old Style" w:ascii="Bookman Old Style" w:hAnsi="Bookman Old Style"/>
          <w:sz w:val="24"/>
          <w:szCs w:val="24"/>
        </w:rPr>
        <w:t>– 24,2 (данные по области)</w:t>
      </w:r>
    </w:p>
    <w:p>
      <w:pPr>
        <w:pStyle w:val="Normal"/>
        <w:pBdr>
          <w:left w:val="single" w:sz="4" w:space="1" w:color="00000A"/>
        </w:pBdr>
        <w:shd w:val="clear" w:color="auto" w:fill="FFFFFF"/>
        <w:tabs>
          <w:tab w:val="left" w:pos="293" w:leader="none"/>
        </w:tabs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  <w:t>5.6.Доля инвестиций производственного назначения (%)</w:t>
      </w:r>
      <w:r>
        <w:rPr>
          <w:rFonts w:cs="Bookman Old Style" w:ascii="Bookman Old Style" w:hAnsi="Bookman Old Style"/>
          <w:sz w:val="24"/>
          <w:szCs w:val="24"/>
        </w:rPr>
        <w:t xml:space="preserve"> – н/д.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/>
      </w:pPr>
      <w:r>
        <w:rPr>
          <w:rFonts w:cs="Bookman Old Style" w:ascii="Bookman Old Style" w:hAnsi="Bookman Old Style"/>
          <w:b/>
          <w:bCs/>
          <w:sz w:val="24"/>
          <w:szCs w:val="24"/>
        </w:rPr>
        <w:t>5.7.Приоритетные направления инвестиционной политики</w:t>
      </w:r>
      <w:r>
        <w:rPr>
          <w:rFonts w:cs="Bookman Old Style" w:ascii="Bookman Old Style" w:hAnsi="Bookman Old Style"/>
          <w:sz w:val="24"/>
          <w:szCs w:val="24"/>
        </w:rPr>
        <w:t xml:space="preserve"> – сельское хозяйство, образование, промышленность, здравоохранение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  <w:highlight w:val="yellow"/>
        </w:rPr>
      </w:pPr>
      <w:r>
        <w:rPr>
          <w:rFonts w:cs="Bookman Old Style" w:ascii="Bookman Old Style" w:hAnsi="Bookman Old Style"/>
          <w:b/>
          <w:bCs/>
          <w:sz w:val="24"/>
          <w:szCs w:val="24"/>
          <w:highlight w:val="yellow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rFonts w:ascii="Bookman Old Style" w:hAnsi="Bookman Old Style" w:cs="Bookman Old Style"/>
          <w:b/>
          <w:b/>
          <w:bCs/>
          <w:color w:val="365F91"/>
          <w:sz w:val="24"/>
          <w:szCs w:val="24"/>
          <w:u w:val="single"/>
        </w:rPr>
      </w:pPr>
      <w:r>
        <w:rPr>
          <w:rFonts w:cs="Bookman Old Style" w:ascii="Bookman Old Style" w:hAnsi="Bookman Old Style"/>
          <w:b/>
          <w:bCs/>
          <w:color w:val="365F91"/>
          <w:sz w:val="24"/>
          <w:szCs w:val="24"/>
          <w:u w:val="single"/>
        </w:rPr>
        <w:t>6. НОРМАТИВНЫЕ И ПРАВОВЫЕ АКТЫ, РАЗРАБОТАННЫЕ В МО, В ОБЛАСТИ ПОДДЕРЖКИ И РАЗВИТИЯ ИНВЕСТИЦИОННОЙ ДЕЯТЕЛЬНОСТИ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color="auto" w:fill="FFFFFF"/>
        <w:ind w:left="0" w:right="-83" w:hanging="11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Решение Совета Ильинского муниципального района от 16.06.2016 N 90 "Об утверждении Положения "О муниципальной поддержке инвестиционной деятельности на территории Ильинского муниципального района"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color="auto" w:fill="FFFFFF"/>
        <w:ind w:left="0" w:right="-83" w:hanging="11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  <w:t>Постановление главы Ильинского муниципального района от 30.04.2009 г. №159 «Об утверждении порядка рассмотрения инвестиционных проектов»;</w:t>
      </w:r>
    </w:p>
    <w:p>
      <w:pPr>
        <w:pStyle w:val="Normal"/>
        <w:numPr>
          <w:ilvl w:val="0"/>
          <w:numId w:val="2"/>
        </w:numPr>
        <w:pBdr>
          <w:left w:val="single" w:sz="4" w:space="1" w:color="00000A"/>
        </w:pBdr>
        <w:shd w:val="clear" w:color="auto" w:fill="FFFFFF"/>
        <w:ind w:left="0" w:right="-83" w:hanging="11"/>
        <w:jc w:val="both"/>
        <w:rPr/>
      </w:pPr>
      <w:r>
        <w:rPr>
          <w:rFonts w:cs="Bookman Old Style" w:ascii="Bookman Old Style" w:hAnsi="Bookman Old Style"/>
          <w:sz w:val="24"/>
          <w:szCs w:val="24"/>
        </w:rPr>
        <w:t>Распоряжение главы администрации Ильинского муниципального района от 14.06.2018 г. №308-р «О комиссии по содействию инвестиционной деятельности на территории Ильинского муниципального района».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b/>
          <w:b/>
          <w:bCs/>
          <w:sz w:val="24"/>
          <w:szCs w:val="24"/>
        </w:rPr>
      </w:pPr>
      <w:r>
        <w:rPr>
          <w:rFonts w:cs="Bookman Old Style" w:ascii="Bookman Old Style" w:hAnsi="Bookman Old Style"/>
          <w:b/>
          <w:bCs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center"/>
        <w:rPr>
          <w:color w:val="800000"/>
        </w:rPr>
      </w:pPr>
      <w:r>
        <w:rPr>
          <w:rFonts w:cs="Bookman Old Style" w:ascii="Bookman Old Style" w:hAnsi="Bookman Old Style"/>
          <w:b/>
          <w:bCs/>
          <w:color w:val="000000"/>
          <w:sz w:val="24"/>
          <w:szCs w:val="24"/>
          <w:u w:val="single"/>
        </w:rPr>
        <w:t>7. ИНВЕСТИЦИОННЫЕ ПРОЕКТЫ, УСПЕШНО РЕАЛИЗУЕМЫЕ НА ТЕРРИТОРИИ МУНИЦИПАЛЬНОГО ОБРАЗОВАНИЯ (ПЕРЕЧЕНЬ, КРАТКАЯ СПРАВКА) – В 2014-2018 ГОДАХ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800000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2014 году, в рамках программы по переселению граждан из ветхого и аварийного жилого фонда, построен многоквартирный жилой дом в п. Ильинское-Хованское.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color w:val="000000"/>
        </w:rPr>
      </w:pP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 w:ascii="Bookman Old Style" w:hAnsi="Bookman Old Style"/>
          <w:b w:val="false"/>
          <w:bCs w:val="false"/>
          <w:color w:val="000000"/>
          <w:sz w:val="24"/>
          <w:szCs w:val="24"/>
        </w:rPr>
        <w:t>В 2016 году ООО «Ильинское-Агро» было приобретено имущество на 73 млн. руб : зерносклады, мастерская, земельные участки. Были введены в эксплуатацию три артезианских скважины в д. Нажерово и в д. Астафьево, для содержания животных. Было закуплено животных более чем на 7 млн. руб., куплен зерноуборочный комбайн «Полесье»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left="0" w:right="-113" w:firstLine="22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>В 2017 году преобретались: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Жатка РСМ-081.27, Жатка роторная ЖР-4000, мобильная сушилка AGRIMEC, Комбайн зерноуборочный самоходный РСМ-152 "ACROS Plus", Очиститель вороха самопередвижной ОВС25, Погрузчик фронтальный Т-229 MF, Упаковщик рулонов SW 120.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left="0" w:right="-113" w:firstLine="22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В 2018 году: </w:t>
      </w:r>
      <w:r>
        <w:rPr>
          <w:rFonts w:cs="Times New Roman CYR"/>
          <w:b w:val="false"/>
          <w:bCs w:val="false"/>
          <w:color w:val="000000"/>
          <w:sz w:val="24"/>
          <w:szCs w:val="24"/>
        </w:rPr>
        <w:t>Трактор Т — 150,  рулоновоз — ПТР-109, прессподборщик — Волагре, и Экструдер для зерна, что в настоящее время является единственным в районе.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right="-83" w:hanging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В 2018 году объем инвестиций в развитие предприятия по производству высококачественной говядины – ООО «Ильинское-Агро» составил – 18,0 млн.руб.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Bookman Old Style"/>
          <w:b w:val="false"/>
          <w:bCs w:val="false"/>
          <w:color w:val="000000"/>
          <w:sz w:val="24"/>
          <w:szCs w:val="24"/>
        </w:rPr>
        <w:t xml:space="preserve">   </w:t>
      </w:r>
      <w:r>
        <w:rPr>
          <w:rFonts w:cs="Bookman Old Style"/>
          <w:b w:val="false"/>
          <w:bCs w:val="false"/>
          <w:color w:val="000000"/>
          <w:sz w:val="24"/>
          <w:szCs w:val="24"/>
        </w:rPr>
        <w:t>В 2015 году в ЗАО «Гарское» выстроен новый арочный двор для содержания молодняка, а так же приобретена сельскохозяйственная техника. Объем инвестиций – 8,0 млн.руб.</w:t>
      </w:r>
    </w:p>
    <w:p>
      <w:pPr>
        <w:pStyle w:val="Normal"/>
        <w:widowControl w:val="false"/>
        <w:pBdr>
          <w:left w:val="single" w:sz="4" w:space="1" w:color="00000A"/>
        </w:pBdr>
        <w:shd w:val="clear" w:color="auto" w:fill="FFFFFF"/>
        <w:suppressAutoHyphens w:val="false"/>
        <w:bidi w:val="0"/>
        <w:ind w:left="0" w:right="-113" w:firstLine="22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Times New Roman CYR"/>
          <w:b w:val="false"/>
          <w:bCs w:val="false"/>
          <w:color w:val="000000"/>
          <w:sz w:val="24"/>
          <w:szCs w:val="24"/>
          <w:shd w:fill="FFFFFF" w:val="clear"/>
        </w:rPr>
        <w:t>В 2016 году хозяйством приобретено сушильное оборудование, автомат по розливу молока, который установлен в торговой сети «Лента» г. Иваново и закуплен фургон для доставки молока к автоматам, установлено оборудование для производства творога. Приобретен опрыскиватель и грабли.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cs="Times New Roman CYR"/>
          <w:b w:val="false"/>
          <w:bCs w:val="false"/>
          <w:color w:val="000000"/>
          <w:sz w:val="24"/>
          <w:szCs w:val="24"/>
          <w:shd w:fill="FFFFFF" w:val="clear"/>
        </w:rPr>
        <w:t xml:space="preserve"> </w:t>
      </w:r>
      <w:r>
        <w:rPr>
          <w:rFonts w:cs="Times New Roman CYR"/>
          <w:b w:val="false"/>
          <w:bCs w:val="false"/>
          <w:color w:val="000000"/>
          <w:sz w:val="24"/>
          <w:szCs w:val="24"/>
          <w:shd w:fill="FFFFFF" w:val="clear"/>
        </w:rPr>
        <w:t>В 2017 году хозяйством приобретен силосоуборочный комбайн с зерновой приставкой, был куплен почти новый трактор МТЗ-80.</w:t>
      </w:r>
    </w:p>
    <w:p>
      <w:pPr>
        <w:pStyle w:val="Normal"/>
        <w:pBdr>
          <w:left w:val="single" w:sz="4" w:space="1" w:color="00000A"/>
        </w:pBdr>
        <w:shd w:val="clear" w:color="auto" w:fill="FFFFFF"/>
        <w:spacing w:lineRule="auto" w:line="276" w:before="0" w:after="200"/>
        <w:ind w:left="0" w:right="-83" w:firstLine="708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 xml:space="preserve">На ОАО 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>«</w:t>
      </w:r>
      <w:r>
        <w:rPr>
          <w:rFonts w:eastAsia="Times New Roman CYR" w:cs="Times New Roman CYR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>Аньковское</w:t>
      </w:r>
      <w:r>
        <w:rPr>
          <w:rFonts w:eastAsia="Times New Roman CYR" w:cs="Times New Roman"/>
          <w:b w:val="false"/>
          <w:bCs w:val="false"/>
          <w:caps w:val="false"/>
          <w:smallCaps w:val="false"/>
          <w:color w:val="000000"/>
          <w:spacing w:val="0"/>
          <w:sz w:val="24"/>
          <w:szCs w:val="24"/>
          <w:shd w:fill="FFFFFF" w:val="clear"/>
          <w:lang w:val="ru-RU"/>
        </w:rPr>
        <w:t>» инвестирование  активно направлено на   увеличение  и модернизацию производственных площадей, в 2018г. на эти цели потрачено 7,8 млн.руб. В ОБУЗ Ильинская ЦРБ приобретен новый аппарат УЗИ.</w:t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Times New Roman" w:hAnsi="Times New Roman" w:cs="Bookman Old Style"/>
          <w:color w:val="800000"/>
          <w:sz w:val="24"/>
          <w:szCs w:val="24"/>
        </w:rPr>
      </w:pPr>
      <w:r>
        <w:rPr>
          <w:rFonts w:cs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color w:val="800000"/>
          <w:sz w:val="24"/>
          <w:szCs w:val="24"/>
        </w:rPr>
      </w:pPr>
      <w:r>
        <w:rPr>
          <w:rFonts w:cs="Bookman Old Style" w:ascii="Bookman Old Style" w:hAnsi="Bookman Old Style"/>
          <w:color w:val="800000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pBdr>
          <w:left w:val="single" w:sz="4" w:space="1" w:color="00000A"/>
        </w:pBdr>
        <w:shd w:val="clear" w:color="auto" w:fill="FFFFFF"/>
        <w:ind w:right="-83" w:hanging="0"/>
        <w:jc w:val="both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  <w:r>
        <w:br w:type="page"/>
      </w:r>
    </w:p>
    <w:p>
      <w:pPr>
        <w:pStyle w:val="Normal"/>
        <w:jc w:val="center"/>
        <w:rPr>
          <w:color w:val="000000"/>
        </w:rPr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___________________________________</w:t>
      </w:r>
    </w:p>
    <w:tbl>
      <w:tblPr>
        <w:tblW w:w="10065" w:type="dxa"/>
        <w:jc w:val="left"/>
        <w:tblInd w:w="125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000"/>
      </w:tblPr>
      <w:tblGrid>
        <w:gridCol w:w="7655"/>
        <w:gridCol w:w="2409"/>
      </w:tblGrid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1 357 761,30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промышленности, транспорта и иного назначения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Прямоугольной формы, рельеф - ровный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28,1 га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п. Ильинское-Хованское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Васютинский Сергей Иванович, глава Ильинского муниципального района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 8(49353) 2-12-04, факс 8(49353) 2-15-05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Аэродром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Ближайшая сеть – 500м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2*10 МВт, расстояние до ближайшей сети – 500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400 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10 000 м</w:t>
            </w:r>
            <w:r>
              <w:rPr>
                <w:color w:val="000000"/>
                <w:sz w:val="22"/>
                <w:szCs w:val="22"/>
                <w:vertAlign w:val="superscript"/>
              </w:rPr>
              <w:t>3</w:t>
            </w:r>
            <w:r>
              <w:rPr>
                <w:color w:val="000000"/>
                <w:sz w:val="22"/>
                <w:szCs w:val="22"/>
              </w:rPr>
              <w:t>/час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- 400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300 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Имеются, грунтовая дорога-0 км., асфальтовая -0,4 км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Отсутствуют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 Н.Новгогод 2 км.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- г. Тейково Ивановской области;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45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50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0,5 км.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>
          <w:trHeight w:val="320" w:hRule="atLeast"/>
        </w:trPr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100% 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30-60 дней</w:t>
            </w:r>
          </w:p>
        </w:tc>
      </w:tr>
      <w:tr>
        <w:trPr/>
        <w:tc>
          <w:tcPr>
            <w:tcW w:w="765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2409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Autospacing="1" w:afterAutospacing="1"/>
        <w:rPr>
          <w:color w:val="000000"/>
        </w:rPr>
      </w:pPr>
      <w:r>
        <w:rPr>
          <w:color w:val="000000"/>
        </w:rPr>
      </w:r>
    </w:p>
    <w:p>
      <w:pPr>
        <w:sectPr>
          <w:footerReference w:type="default" r:id="rId39"/>
          <w:type w:val="nextPage"/>
          <w:pgSz w:w="11906" w:h="16838"/>
          <w:pgMar w:left="1110" w:right="567" w:header="0" w:top="420" w:footer="709" w:bottom="851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п. Ильинское-Хованское)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/>
        <w:drawing>
          <wp:inline distT="0" distB="0" distL="0" distR="0">
            <wp:extent cx="9487535" cy="5363210"/>
            <wp:effectExtent l="0" t="0" r="0" b="0"/>
            <wp:docPr id="5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535" cy="53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41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п. Ильинское-Хованское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28,1 га</w:t>
      </w:r>
    </w:p>
    <w:p>
      <w:pPr>
        <w:pStyle w:val="Normal"/>
        <w:jc w:val="center"/>
        <w:rPr/>
      </w:pPr>
      <w:r>
        <w:rPr/>
        <w:t>Земли промышленности и транспорта.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rPr>
          <w:sz w:val="24"/>
          <w:szCs w:val="24"/>
        </w:rPr>
      </w:pPr>
      <w:r>
        <w:rPr/>
        <w:drawing>
          <wp:inline distT="0" distB="0" distL="0" distR="0">
            <wp:extent cx="6268085" cy="6220460"/>
            <wp:effectExtent l="0" t="0" r="0" b="0"/>
            <wp:docPr id="6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right="426" w:hanging="0"/>
        <w:jc w:val="both"/>
        <w:rPr/>
      </w:pPr>
      <w:r>
        <w:rPr>
          <w:b/>
          <w:bCs/>
          <w:color w:val="FF0000"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-2х10 МВт, расстояние до ближайшей сети – 500 м</w:t>
      </w:r>
    </w:p>
    <w:p>
      <w:pPr>
        <w:pStyle w:val="Normal"/>
        <w:ind w:right="426" w:hanging="0"/>
        <w:jc w:val="both"/>
        <w:rPr/>
      </w:pPr>
      <w:r>
        <w:rPr>
          <w:b/>
          <w:bCs/>
          <w:color w:val="006600"/>
          <w:sz w:val="24"/>
          <w:szCs w:val="24"/>
        </w:rPr>
        <w:t>Водоснабжение</w:t>
      </w:r>
      <w:r>
        <w:rPr>
          <w:b/>
          <w:bCs/>
          <w:sz w:val="24"/>
          <w:szCs w:val="24"/>
        </w:rPr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Ближайшая сеть – 500 м</w:t>
      </w:r>
    </w:p>
    <w:p>
      <w:pPr>
        <w:pStyle w:val="Normal"/>
        <w:ind w:right="426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color w:val="663300"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>- Ближайшая сеть – 300 м</w:t>
      </w:r>
    </w:p>
    <w:p>
      <w:pPr>
        <w:pStyle w:val="Normal"/>
        <w:ind w:right="426" w:hanging="0"/>
        <w:jc w:val="both"/>
        <w:rPr>
          <w:i/>
          <w:i/>
          <w:iCs/>
          <w:spacing w:val="-10"/>
          <w:sz w:val="24"/>
          <w:szCs w:val="24"/>
        </w:rPr>
      </w:pPr>
      <w:r>
        <w:rPr>
          <w:b/>
          <w:bCs/>
          <w:color w:val="E36C0A"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ab/>
        <w:tab/>
        <w:t>- Мощность – 10000 м</w:t>
      </w:r>
      <w:r>
        <w:rPr>
          <w:i/>
          <w:iCs/>
          <w:sz w:val="24"/>
          <w:szCs w:val="24"/>
          <w:vertAlign w:val="superscript"/>
        </w:rPr>
        <w:t>3</w:t>
      </w:r>
      <w:r>
        <w:rPr>
          <w:i/>
          <w:iCs/>
          <w:sz w:val="24"/>
          <w:szCs w:val="24"/>
        </w:rPr>
        <w:t>/час, ближайшая сеть – 400 м</w:t>
      </w:r>
    </w:p>
    <w:p>
      <w:pPr>
        <w:pStyle w:val="Normal"/>
        <w:ind w:right="285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– 400 м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ближайшие ж/д станции: </w:t>
      </w:r>
    </w:p>
    <w:p>
      <w:pPr>
        <w:pStyle w:val="Normal"/>
        <w:ind w:left="2820" w:right="285" w:firstLine="72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 xml:space="preserve">г. Тейково (Ивановская обл.)  – 53 км, </w:t>
      </w:r>
    </w:p>
    <w:p>
      <w:pPr>
        <w:pStyle w:val="Normal"/>
        <w:ind w:left="2820" w:right="285" w:firstLine="7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г. Ростов (Ярославская обл.) – 45 км</w:t>
      </w:r>
      <w:r>
        <w:br w:type="page"/>
      </w:r>
    </w:p>
    <w:p>
      <w:pPr>
        <w:pStyle w:val="Normal"/>
        <w:widowControl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beforeAutospacing="1" w:afterAutospacing="1"/>
        <w:ind w:left="708" w:hanging="0"/>
        <w:rPr>
          <w:color w:val="000000"/>
        </w:rPr>
      </w:pPr>
      <w:r>
        <w:rPr>
          <w:b/>
          <w:bCs/>
          <w:color w:val="000000"/>
          <w:sz w:val="22"/>
          <w:szCs w:val="22"/>
        </w:rPr>
        <w:t xml:space="preserve">Паспорт «зелёной» площадки </w:t>
      </w:r>
      <w:r>
        <w:rPr>
          <w:b/>
          <w:bCs/>
          <w:color w:val="000000"/>
          <w:sz w:val="22"/>
          <w:szCs w:val="22"/>
          <w:u w:val="single"/>
        </w:rPr>
        <w:t>Земельный участок</w:t>
      </w:r>
      <w:r>
        <w:rPr>
          <w:b/>
          <w:bCs/>
          <w:color w:val="000000"/>
          <w:sz w:val="22"/>
          <w:szCs w:val="22"/>
        </w:rPr>
        <w:t>________________________</w:t>
      </w:r>
    </w:p>
    <w:tbl>
      <w:tblPr>
        <w:tblW w:w="9654" w:type="dxa"/>
        <w:jc w:val="left"/>
        <w:tblInd w:w="-26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000"/>
      </w:tblPr>
      <w:tblGrid>
        <w:gridCol w:w="6110"/>
        <w:gridCol w:w="3543"/>
      </w:tblGrid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Класс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Земельный участок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Кадастровая стоимость участка (руб.)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FF0000"/>
                <w:sz w:val="22"/>
                <w:szCs w:val="22"/>
              </w:rPr>
            </w:pPr>
            <w:r>
              <w:rPr>
                <w:color w:val="FF0000"/>
                <w:sz w:val="22"/>
                <w:szCs w:val="22"/>
              </w:rPr>
              <w:t>Ориентировочная кадастровая стоимость 14 000 000,00 руб.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Земли населенных пунктов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Назначение земельного участка (промышленное, жилищное, общественное, сельскохозяйственное использование или любое)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Промышленное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Описание земельного участка (форма, рельеф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Территория бывшего крахмального завода, неправильной формы, рельеф - ровный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Площадь (га)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10,0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Описание местоположение объекта</w:t>
            </w:r>
            <w:r>
              <w:rPr>
                <w:color w:val="000000"/>
                <w:sz w:val="22"/>
                <w:szCs w:val="22"/>
              </w:rPr>
              <w:t xml:space="preserve">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sz w:val="22"/>
                <w:szCs w:val="22"/>
                <w:highlight w:val="black"/>
              </w:rPr>
            </w:pPr>
            <w:r>
              <w:rPr>
                <w:sz w:val="22"/>
                <w:szCs w:val="22"/>
                <w:highlight w:val="black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Район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Ильинский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Населенный пункт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Собственник                                                                                     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Контактное лицо</w:t>
            </w:r>
            <w:r>
              <w:rPr>
                <w:color w:val="000000"/>
                <w:sz w:val="22"/>
                <w:szCs w:val="22"/>
              </w:rPr>
              <w:t xml:space="preserve"> (Ф.И.О.)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Касимова Елена Владимировна – глава Ивашевского  сельского поселения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Координаты для контакта 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Тел./факс 8(49353) 2-52-18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Первичное назначение объекта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Крахмальный завод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Возможное направление использования участка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Строительство производственных объектов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Инженерные коммуникации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Водопровод (наличие,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, возможность бурения скважин)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Артезианская скважина на территории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Электроэнергия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Непосредственно рядом с территорией площадки проходит линия ВЛ-10 кВ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Отопление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 – 8,0 км. (п. Ильинское-Хованское)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Газ (имеющаяся мощность в наличии,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сеть- межпоселковый газопровод от газопровода «ГРС Ильинское- с. Аньково» до с. Ивашево, распределительный газопровод по с. Ивашево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Канализация (состояние, возможность подключения, </w:t>
            </w:r>
            <w:r>
              <w:rPr>
                <w:b/>
                <w:bCs/>
                <w:color w:val="000000"/>
                <w:sz w:val="22"/>
                <w:szCs w:val="22"/>
              </w:rPr>
              <w:t>расстояние до точки подключения</w:t>
            </w:r>
            <w:r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Ближайшая централизованная сеть – 8,0 км. (п. Ильинское-Хованское), пруды-отстойники – 0,5 км. севернее площадки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>Подъездные пути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Собственные подъездные пути (имеются, асфальтная или грунтовая дорога, по пересечённой местности, отсутствуют)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Имеются (грунтовая дорога)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Собственная железнодорожная ветка (имеется, отсутствует)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Отсутствует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основных автомагистралей, наименование автомагистралей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Ростов-Иваново-Н.Новгород 8,0 км.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ближайшей ж/д станции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48 км. – г. Тейково Ивановской области,</w:t>
            </w:r>
          </w:p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53 км. – г. Ростов Ярославской области</w:t>
            </w:r>
          </w:p>
        </w:tc>
      </w:tr>
      <w:tr>
        <w:trPr>
          <w:trHeight w:val="345" w:hRule="atLeast"/>
        </w:trPr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возможной точки врезки в ж/д пути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58 км.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Расстояние до ближайшего жилья (км)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0,1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Картографические материалы (карта расположения объекта на местности, либо кадастровый план территории) по возможности кадастровые выписки(</w:t>
            </w:r>
            <w:r>
              <w:rPr>
                <w:sz w:val="22"/>
                <w:szCs w:val="22"/>
              </w:rPr>
              <w:t xml:space="preserve"> 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Карта расположения объекта 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Фотография объекта (</w:t>
            </w:r>
            <w:r>
              <w:rPr>
                <w:sz w:val="22"/>
                <w:szCs w:val="22"/>
              </w:rPr>
              <w:t xml:space="preserve">Формат </w:t>
            </w:r>
            <w:r>
              <w:rPr>
                <w:sz w:val="22"/>
                <w:szCs w:val="22"/>
                <w:lang w:val="en-US"/>
              </w:rPr>
              <w:t>JPG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Прилагается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  <w:t xml:space="preserve">Юридическая документация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</w:tcPr>
          <w:p>
            <w:pPr>
              <w:pStyle w:val="Normal"/>
              <w:spacing w:beforeAutospacing="1" w:afterAutospacing="1"/>
              <w:jc w:val="both"/>
              <w:rPr>
                <w:color w:val="000000"/>
                <w:sz w:val="22"/>
                <w:szCs w:val="22"/>
                <w:u w:val="single"/>
              </w:rPr>
            </w:pPr>
            <w:r>
              <w:rPr>
                <w:color w:val="000000"/>
                <w:sz w:val="22"/>
                <w:szCs w:val="22"/>
                <w:u w:val="single"/>
              </w:rPr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Наименование и номер документа (договор аренды, свидетельство о праве собственности)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Нет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Вид права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Государственная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Обременения 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Часть земельного участка расположена в водоохраной зоне реки Ухтома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Процент готовности (наличие или стадия готовности землеустроительной документации)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Предполагаемая форма участия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Аренда или собственность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Дополнительные сведения (длительность прохождения административных процедур и т.п.)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30-90 дней</w:t>
            </w:r>
          </w:p>
        </w:tc>
      </w:tr>
      <w:tr>
        <w:trPr/>
        <w:tc>
          <w:tcPr>
            <w:tcW w:w="611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Дата подготовки сведений</w:t>
            </w:r>
          </w:p>
        </w:tc>
        <w:tc>
          <w:tcPr>
            <w:tcW w:w="354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jc w:val="both"/>
              <w:rPr/>
            </w:pPr>
            <w:r>
              <w:rPr>
                <w:color w:val="000000"/>
                <w:sz w:val="22"/>
                <w:szCs w:val="22"/>
              </w:rPr>
              <w:t>31.01.2019 г.</w:t>
            </w:r>
          </w:p>
        </w:tc>
      </w:tr>
    </w:tbl>
    <w:p>
      <w:pPr>
        <w:pStyle w:val="Normal"/>
        <w:spacing w:beforeAutospacing="1" w:afterAutospacing="1"/>
        <w:rPr>
          <w:color w:val="000000"/>
        </w:rPr>
      </w:pPr>
      <w:r>
        <w:rPr>
          <w:color w:val="000000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sectPr>
          <w:footerReference w:type="default" r:id="rId43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Фотография зеленой площадки (Ильинский муниципальный район, с. Ивашево)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/>
        <w:drawing>
          <wp:inline distT="0" distB="0" distL="0" distR="0">
            <wp:extent cx="9087485" cy="5125085"/>
            <wp:effectExtent l="0" t="0" r="0" b="0"/>
            <wp:docPr id="7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7485" cy="512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default" r:id="rId45"/>
          <w:type w:val="nextPage"/>
          <w:pgSz w:orient="landscape" w:w="16838" w:h="11906"/>
          <w:pgMar w:left="567" w:right="567" w:header="0" w:top="1418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Границы участка обозначены желтой линией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Участок №1. Ильинский муниципальный район, с. Ивашево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Площадь участка – 10 га</w:t>
      </w:r>
    </w:p>
    <w:p>
      <w:pPr>
        <w:pStyle w:val="Normal"/>
        <w:jc w:val="center"/>
        <w:rPr/>
      </w:pPr>
      <w:r>
        <w:rPr/>
        <w:t>Земли населенных пунктов. Текущий владелец – государственная собственность</w:t>
      </w:r>
    </w:p>
    <w:p>
      <w:pPr>
        <w:pStyle w:val="Normal"/>
        <w:jc w:val="center"/>
        <w:rPr>
          <w:sz w:val="16"/>
          <w:szCs w:val="16"/>
        </w:rPr>
      </w:pPr>
      <w:r>
        <w:rPr/>
        <w:drawing>
          <wp:inline distT="0" distB="0" distL="0" distR="0">
            <wp:extent cx="6249035" cy="6210935"/>
            <wp:effectExtent l="0" t="0" r="0" b="0"/>
            <wp:docPr id="8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Электроэнергия</w:t>
      </w:r>
      <w:r>
        <w:rPr>
          <w:sz w:val="24"/>
          <w:szCs w:val="24"/>
        </w:rPr>
        <w:tab/>
        <w:tab/>
        <w:tab/>
      </w:r>
      <w:r>
        <w:rPr>
          <w:i/>
          <w:iCs/>
          <w:sz w:val="24"/>
          <w:szCs w:val="24"/>
        </w:rPr>
        <w:t>-Непосредственно рядом с площадкой проходит линия</w:t>
      </w:r>
    </w:p>
    <w:p>
      <w:pPr>
        <w:pStyle w:val="Normal"/>
        <w:ind w:right="140" w:hanging="0"/>
        <w:jc w:val="both"/>
        <w:rPr/>
      </w:pPr>
      <w:r>
        <w:rPr>
          <w:i/>
          <w:iCs/>
          <w:sz w:val="24"/>
          <w:szCs w:val="24"/>
        </w:rPr>
        <w:tab/>
        <w:tab/>
        <w:tab/>
        <w:tab/>
        <w:tab/>
        <w:t>ВЛ – 10 кВ</w:t>
      </w:r>
    </w:p>
    <w:p>
      <w:pPr>
        <w:pStyle w:val="Normal"/>
        <w:ind w:right="140" w:hanging="0"/>
        <w:jc w:val="both"/>
        <w:rPr/>
      </w:pPr>
      <w:r>
        <w:rPr>
          <w:b/>
          <w:bCs/>
          <w:sz w:val="24"/>
          <w:szCs w:val="24"/>
        </w:rPr>
        <w:t>Водоснабжение</w:t>
        <w:tab/>
        <w:tab/>
        <w:tab/>
      </w:r>
      <w:r>
        <w:rPr>
          <w:sz w:val="24"/>
          <w:szCs w:val="24"/>
        </w:rPr>
        <w:t>-</w:t>
      </w:r>
      <w:r>
        <w:rPr>
          <w:i/>
          <w:iCs/>
          <w:sz w:val="24"/>
          <w:szCs w:val="24"/>
        </w:rPr>
        <w:t>Артезианская скважина на территории площадки</w:t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Канализация</w:t>
      </w:r>
      <w:r>
        <w:rPr>
          <w:i/>
          <w:iCs/>
          <w:sz w:val="24"/>
          <w:szCs w:val="24"/>
        </w:rPr>
        <w:tab/>
        <w:tab/>
        <w:tab/>
        <w:t xml:space="preserve">- Пруды – отстойники (7,1 га)  в 0,5 км севернее площадки,  </w:t>
      </w:r>
    </w:p>
    <w:p>
      <w:pPr>
        <w:pStyle w:val="Normal"/>
        <w:ind w:left="3540"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ближайшая централизованная сеть в 8,0 км пос. Ильинское-Хованское</w:t>
      </w:r>
    </w:p>
    <w:p>
      <w:pPr>
        <w:pStyle w:val="Normal"/>
        <w:ind w:left="3544" w:right="140" w:hanging="3544"/>
        <w:jc w:val="both"/>
        <w:rPr>
          <w:i/>
          <w:i/>
          <w:iCs/>
          <w:spacing w:val="-10"/>
          <w:sz w:val="24"/>
          <w:szCs w:val="24"/>
        </w:rPr>
      </w:pPr>
      <w:r>
        <w:rPr>
          <w:b/>
          <w:bCs/>
          <w:sz w:val="24"/>
          <w:szCs w:val="24"/>
        </w:rPr>
        <w:t>Газоснабжение</w:t>
      </w:r>
      <w:r>
        <w:rPr>
          <w:i/>
          <w:iCs/>
          <w:sz w:val="24"/>
          <w:szCs w:val="24"/>
        </w:rPr>
        <w:tab/>
        <w:t>- Ближайшая сеть: межпоселковый газопровод от газопровода «ГРС Ильинская – с. Аньково» до с. Ивашево, распределительный газопровод по с. Ивашево</w:t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Транспортная доступность</w:t>
      </w:r>
      <w:r>
        <w:rPr>
          <w:i/>
          <w:iCs/>
          <w:sz w:val="24"/>
          <w:szCs w:val="24"/>
        </w:rPr>
        <w:tab/>
        <w:t>- Автодорога с а/б покрытием непосредственно рядом с</w:t>
      </w:r>
    </w:p>
    <w:p>
      <w:pPr>
        <w:pStyle w:val="Normal"/>
        <w:ind w:right="140" w:hanging="0"/>
        <w:jc w:val="both"/>
        <w:rPr>
          <w:i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ab/>
        <w:t>площадкой, ближайшие ж/д станции: г.Тейково (Ивановс-</w:t>
      </w:r>
    </w:p>
    <w:p>
      <w:pPr>
        <w:pStyle w:val="Normal"/>
        <w:ind w:right="140" w:firstLine="708"/>
        <w:jc w:val="both"/>
        <w:rPr>
          <w:sz w:val="24"/>
          <w:szCs w:val="24"/>
          <w:u w:val="single"/>
        </w:rPr>
      </w:pPr>
      <w:r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ab/>
        <w:tab/>
        <w:tab/>
        <w:tab/>
        <w:t>кая обл.)  – 48 км, г. Ростов (Ярославская обл.) – 53 км</w:t>
      </w:r>
      <w:r>
        <w:br w:type="page"/>
      </w:r>
    </w:p>
    <w:p>
      <w:pPr>
        <w:pStyle w:val="Normal"/>
        <w:shd w:val="clear" w:color="auto" w:fill="FFFFFF"/>
        <w:spacing w:lineRule="exact" w:line="274"/>
        <w:jc w:val="center"/>
        <w:rPr>
          <w:rFonts w:ascii="Bookman Old Style" w:hAnsi="Bookman Old Style" w:cs="Bookman Old Style"/>
          <w:sz w:val="24"/>
          <w:szCs w:val="24"/>
        </w:rPr>
      </w:pPr>
      <w:r>
        <w:rPr>
          <w:rFonts w:cs="Bookman Old Style" w:ascii="Bookman Old Style" w:hAnsi="Bookman Old Style"/>
          <w:sz w:val="24"/>
          <w:szCs w:val="24"/>
        </w:rPr>
      </w:r>
    </w:p>
    <w:p>
      <w:pPr>
        <w:pStyle w:val="Normal"/>
        <w:ind w:right="142"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jc w:val="center"/>
        <w:rPr>
          <w:b/>
          <w:b/>
          <w:bCs/>
          <w:color w:val="000000"/>
        </w:rPr>
      </w:pPr>
      <w:r>
        <w:rPr>
          <w:b/>
          <w:bCs/>
          <w:color w:val="000000"/>
        </w:rPr>
        <w:t>Паспорт «коричневой» площадки __</w:t>
      </w:r>
      <w:r>
        <w:rPr>
          <w:b/>
          <w:bCs/>
          <w:color w:val="000000"/>
          <w:u w:val="single"/>
        </w:rPr>
        <w:t>Нежилое здание</w:t>
      </w:r>
      <w:r>
        <w:rPr>
          <w:b/>
          <w:bCs/>
          <w:color w:val="000000"/>
        </w:rPr>
        <w:t>________________</w:t>
      </w:r>
    </w:p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</w:r>
    </w:p>
    <w:tbl>
      <w:tblPr>
        <w:tblW w:w="9923" w:type="dxa"/>
        <w:jc w:val="left"/>
        <w:tblInd w:w="-262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  <w:insideH w:val="outset" w:sz="6" w:space="0" w:color="00000A"/>
          <w:insideV w:val="outset" w:sz="6" w:space="0" w:color="00000A"/>
        </w:tblBorders>
        <w:tblCellMar>
          <w:top w:w="15" w:type="dxa"/>
          <w:left w:w="-22" w:type="dxa"/>
          <w:bottom w:w="15" w:type="dxa"/>
          <w:right w:w="15" w:type="dxa"/>
        </w:tblCellMar>
        <w:tblLook w:val="0000"/>
      </w:tblPr>
      <w:tblGrid>
        <w:gridCol w:w="6237"/>
        <w:gridCol w:w="3685"/>
      </w:tblGrid>
      <w:tr>
        <w:trPr>
          <w:trHeight w:val="277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ind w:right="708" w:hanging="0"/>
              <w:rPr>
                <w:color w:val="000000"/>
              </w:rPr>
            </w:pPr>
            <w:r>
              <w:rPr>
                <w:color w:val="00000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Класс объекта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ind w:right="708" w:hanging="0"/>
              <w:rPr>
                <w:color w:val="000000"/>
              </w:rPr>
            </w:pPr>
            <w:r>
              <w:rPr>
                <w:color w:val="000000"/>
              </w:rPr>
              <w:t>Нежилое здание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Инвентаризационная оценка (руб.)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65849 (восстановительная стоимость)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34285 (действительная собственность) 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Балансовая стоимость, тыс.руб.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7 185 270,00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Год постройки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1984 г.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Наименование объекта (первичное назначение)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Нежилое здание (детский сад)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Общая площадь (кв.м.)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712,6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Длина (м)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36,03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Ширина (м)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12,90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Высота (м)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2,86- первый этаж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3,00 – второй этаж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Площадь примыкающей площадки, га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0,4484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Земли населенных пунктов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Описание земельного участка (форма, рельеф и т.п.)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ind w:left="118" w:hanging="0"/>
              <w:rPr>
                <w:color w:val="000000"/>
              </w:rPr>
            </w:pPr>
            <w:r>
              <w:rPr>
                <w:color w:val="000000"/>
              </w:rPr>
              <w:t>Прямоугольной формы, рельеф-ровный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Описание местоположения объекта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Адресная часть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Ивановская область, Ильинский район, с. Нажерово, ул. Советская, д.5а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Собственник</w:t>
            </w:r>
            <w:r>
              <w:rPr>
                <w:color w:val="000000"/>
              </w:rPr>
              <w:t xml:space="preserve">(принадлежность объекта)                        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Администрация Ивашевского сельского поселения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Контактное лицо</w:t>
            </w:r>
            <w:r>
              <w:rPr>
                <w:color w:val="000000"/>
              </w:rPr>
              <w:t xml:space="preserve"> (ФИО)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spacing w:val="-6"/>
              </w:rPr>
              <w:t>Касимова Елена Владимировна – глава администрации Ивашевского сельского поселения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Координаты для контакта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Тел./</w:t>
            </w:r>
            <w:r>
              <w:rPr>
                <w:color w:val="000000"/>
                <w:lang w:val="en-US"/>
              </w:rPr>
              <w:t>fax</w:t>
            </w:r>
            <w:r>
              <w:rPr>
                <w:color w:val="000000"/>
              </w:rPr>
              <w:t xml:space="preserve"> (49353) 2</w:t>
            </w:r>
            <w:r>
              <w:rPr>
                <w:b/>
                <w:bCs/>
                <w:color w:val="000000"/>
              </w:rPr>
              <w:t>–</w:t>
            </w:r>
            <w:r>
              <w:rPr>
                <w:color w:val="000000"/>
              </w:rPr>
              <w:t>52–18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Описание конструкций объекта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Этажность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Двухэтажное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Материал стен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Кирпич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Фотографии, схемы, планы помещений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Схема и планы прилагаются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Инженерные коммуникации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Центральный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КТП на территории площадки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Угольная котельная на территории площадки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Газ (мощность в наличии,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spacing w:val="-2"/>
              </w:rPr>
            </w:pPr>
            <w:r>
              <w:rPr>
                <w:spacing w:val="-2"/>
              </w:rPr>
              <w:t xml:space="preserve">Нет, </w:t>
            </w:r>
          </w:p>
          <w:p>
            <w:pPr>
              <w:pStyle w:val="Normal"/>
              <w:rPr>
                <w:color w:val="000000"/>
              </w:rPr>
            </w:pP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>Ближайшие сети – межпоселковый газопровод от газопровода «ГРС Ильинская – с. Аньково» до с. Ивашево (18 км)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bCs/>
                <w:color w:val="000000"/>
              </w:rPr>
              <w:t>расстояние до точки подключения</w:t>
            </w:r>
            <w:r>
              <w:rPr>
                <w:color w:val="000000"/>
              </w:rPr>
              <w:t>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Центральная (в отстойники)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Подъездные пути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Наличие собственной ж/д ветки (имеется, отсутствует)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Отсутствует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Расстояние до основных автомагистралей (км)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spacing w:val="-6"/>
              </w:rPr>
              <w:t>Автодорога республиканского значения: Ростов – Иваново – Н.Новгород (25 км)</w:t>
            </w:r>
          </w:p>
        </w:tc>
      </w:tr>
      <w:tr>
        <w:trPr>
          <w:trHeight w:val="345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Расстояние до ж/д станции (км)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>Ж/д станции:</w:t>
            </w:r>
          </w:p>
          <w:p>
            <w:pPr>
              <w:pStyle w:val="Normal"/>
              <w:rPr/>
            </w:pPr>
            <w:r>
              <w:rPr/>
              <w:t>г. Тейково (Ивановская область) – 66 км</w:t>
            </w:r>
          </w:p>
          <w:p>
            <w:pPr>
              <w:pStyle w:val="Normal"/>
              <w:rPr>
                <w:color w:val="000000"/>
              </w:rPr>
            </w:pPr>
            <w:r>
              <w:rPr/>
              <w:t>г. Ростов (Ярославская область) – 70 км</w:t>
            </w:r>
          </w:p>
        </w:tc>
      </w:tr>
      <w:tr>
        <w:trPr>
          <w:trHeight w:val="345" w:hRule="atLeast"/>
        </w:trPr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Расстояние до точки врезки ж/д путей (км)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60 км.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Расстояние до ближайшего жилья (км)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В черте населенного пункта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Возможность расширения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Возможность обособления территории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Имеется</w:t>
            </w:r>
          </w:p>
        </w:tc>
      </w:tr>
      <w:tr>
        <w:trPr/>
        <w:tc>
          <w:tcPr>
            <w:tcW w:w="9922" w:type="dxa"/>
            <w:gridSpan w:val="2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  <w:u w:val="single"/>
              </w:rPr>
              <w:t>Юридическая документация</w:t>
            </w:r>
            <w:r>
              <w:rPr>
                <w:color w:val="000000"/>
              </w:rPr>
              <w:t xml:space="preserve"> 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  <w:spacing w:val="-2"/>
              </w:rPr>
              <w:t>Свидетельство о государственной регистрации права от 02.07.2014 г. № 37СС 474260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/>
              <w:t xml:space="preserve">11344,52 руб. </w:t>
            </w:r>
          </w:p>
          <w:p>
            <w:pPr>
              <w:pStyle w:val="Normal"/>
              <w:rPr>
                <w:color w:val="000000"/>
              </w:rPr>
            </w:pPr>
            <w:r>
              <w:rPr/>
              <w:t>(распоряжение главы Нажеровского сельсовета №18 от 21.09.1993 г.)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Техническая  инвентаризация  от 24.02.2010 г.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Обременения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/>
              <w:t>нет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Малое производственное предприятие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100%</w:t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color w:val="000000"/>
              </w:rPr>
            </w:pPr>
            <w:r>
              <w:rPr>
                <w:color w:val="000000"/>
              </w:rPr>
              <w:t>Дополнительные сведения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6237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spacing w:beforeAutospacing="1" w:afterAutospacing="1"/>
              <w:rPr>
                <w:b/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Дата подготовки сведений </w:t>
            </w:r>
          </w:p>
        </w:tc>
        <w:tc>
          <w:tcPr>
            <w:tcW w:w="3685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  <w:insideH w:val="outset" w:sz="6" w:space="0" w:color="00000A"/>
              <w:insideV w:val="outset" w:sz="6" w:space="0" w:color="00000A"/>
            </w:tcBorders>
            <w:shd w:fill="auto" w:val="clear"/>
            <w:tcMar>
              <w:left w:w="-22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 </w:t>
            </w:r>
            <w:r>
              <w:rPr>
                <w:color w:val="000000"/>
              </w:rPr>
              <w:t>31.01.2019</w:t>
            </w:r>
          </w:p>
        </w:tc>
      </w:tr>
    </w:tbl>
    <w:p>
      <w:pPr>
        <w:pStyle w:val="Normal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Ильинский муниципальный район, с. Нажерово</w:t>
      </w:r>
    </w:p>
    <w:p>
      <w:p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(местонахождение объекта – Ильинский район, с. Нажерово, ул. Советская, д.5а </w:t>
      </w:r>
    </w:p>
    <w:p>
      <w:pPr>
        <w:sectPr>
          <w:footerReference w:type="default" r:id="rId47"/>
          <w:type w:val="nextPage"/>
          <w:pgSz w:w="11906" w:h="16838"/>
          <w:pgMar w:left="1418" w:right="567" w:header="0" w:top="567" w:footer="709" w:bottom="766" w:gutter="0"/>
          <w:pgNumType w:fmt="decimal"/>
          <w:formProt w:val="false"/>
          <w:textDirection w:val="lrTb"/>
          <w:docGrid w:type="default" w:linePitch="360" w:charSpace="2047"/>
        </w:sectPr>
        <w:pStyle w:val="Normal"/>
        <w:jc w:val="center"/>
        <w:rPr>
          <w:sz w:val="24"/>
          <w:szCs w:val="24"/>
        </w:rPr>
      </w:pPr>
      <w:r>
        <w:rPr>
          <w:sz w:val="24"/>
          <w:szCs w:val="24"/>
        </w:rPr>
        <w:t>(бывший детский сад))</w:t>
      </w:r>
    </w:p>
    <w:p>
      <w:pPr>
        <w:pStyle w:val="Normal"/>
        <w:ind w:left="-426" w:hanging="0"/>
        <w:jc w:val="center"/>
        <w:rPr>
          <w:b/>
          <w:b/>
          <w:bCs/>
          <w:sz w:val="24"/>
          <w:szCs w:val="24"/>
        </w:rPr>
      </w:pPr>
      <w:r>
        <w:rPr/>
        <w:drawing>
          <wp:inline distT="0" distB="0" distL="0" distR="0">
            <wp:extent cx="6249035" cy="6249035"/>
            <wp:effectExtent l="0" t="0" r="0" b="0"/>
            <wp:docPr id="9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24"/>
          <w:szCs w:val="24"/>
        </w:rPr>
        <w:t>Поэтажный план здания детского сада</w:t>
      </w:r>
    </w:p>
    <w:p>
      <w:pPr>
        <w:pStyle w:val="Normal"/>
        <w:jc w:val="center"/>
        <w:rPr>
          <w:b/>
          <w:b/>
          <w:bCs/>
          <w:sz w:val="24"/>
          <w:szCs w:val="24"/>
          <w:u w:val="single"/>
        </w:rPr>
      </w:pPr>
      <w:r>
        <w:rPr/>
        <w:drawing>
          <wp:inline distT="0" distB="0" distL="0" distR="0">
            <wp:extent cx="6096635" cy="3048635"/>
            <wp:effectExtent l="0" t="0" r="0" b="0"/>
            <wp:docPr id="10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jc w:val="center"/>
        <w:rPr>
          <w:b/>
          <w:b/>
          <w:bCs/>
          <w:sz w:val="24"/>
          <w:szCs w:val="24"/>
          <w:u w:val="single"/>
        </w:rPr>
      </w:pPr>
      <w:r>
        <w:rPr/>
        <w:drawing>
          <wp:inline distT="0" distB="0" distL="0" distR="0">
            <wp:extent cx="6096635" cy="3239135"/>
            <wp:effectExtent l="0" t="0" r="0" b="0"/>
            <wp:docPr id="11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Фотографические материалы</w:t>
      </w:r>
    </w:p>
    <w:p>
      <w:pPr>
        <w:pStyle w:val="Normal"/>
        <w:jc w:val="center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tbl>
      <w:tblPr>
        <w:tblW w:w="16410" w:type="dxa"/>
        <w:jc w:val="left"/>
        <w:tblInd w:w="3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0a0"/>
      </w:tblPr>
      <w:tblGrid>
        <w:gridCol w:w="8205"/>
        <w:gridCol w:w="8204"/>
      </w:tblGrid>
      <w:tr>
        <w:trPr/>
        <w:tc>
          <w:tcPr>
            <w:tcW w:w="8205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96385" cy="3058160"/>
                  <wp:effectExtent l="0" t="0" r="0" b="0"/>
                  <wp:docPr id="12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38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передний фасад</w:t>
            </w:r>
          </w:p>
        </w:tc>
        <w:tc>
          <w:tcPr>
            <w:tcW w:w="8204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67810" cy="3058160"/>
                  <wp:effectExtent l="0" t="0" r="0" b="0"/>
                  <wp:docPr id="13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1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задний фасад</w:t>
            </w:r>
          </w:p>
        </w:tc>
      </w:tr>
      <w:tr>
        <w:trPr/>
        <w:tc>
          <w:tcPr>
            <w:tcW w:w="8205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77335" cy="3058160"/>
                  <wp:effectExtent l="0" t="0" r="0" b="0"/>
                  <wp:docPr id="14" name="Рисунок 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335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(левый)</w:t>
            </w:r>
          </w:p>
        </w:tc>
        <w:tc>
          <w:tcPr>
            <w:tcW w:w="8204" w:type="dxa"/>
            <w:tcBorders/>
            <w:shd w:fill="auto" w:val="clear"/>
          </w:tcPr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4086860" cy="3058160"/>
                  <wp:effectExtent l="0" t="0" r="0" b="0"/>
                  <wp:docPr id="15" name="Рисунок 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860" cy="305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jc w:val="center"/>
              <w:rPr>
                <w:i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боковой фасад (правый)</w:t>
            </w:r>
          </w:p>
        </w:tc>
      </w:tr>
    </w:tbl>
    <w:p>
      <w:pPr>
        <w:sectPr>
          <w:footerReference w:type="default" r:id="rId55"/>
          <w:type w:val="nextPage"/>
          <w:pgSz w:orient="landscape" w:w="16838" w:h="11906"/>
          <w:pgMar w:left="284" w:right="284" w:header="0" w:top="284" w:footer="284" w:bottom="341" w:gutter="0"/>
          <w:pgNumType w:fmt="decimal"/>
          <w:formProt w:val="false"/>
          <w:textDirection w:val="lrTb"/>
          <w:docGrid w:type="default" w:linePitch="360" w:charSpace="2047"/>
        </w:sectPr>
      </w:pP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 </w:t>
      </w: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10095" w:type="dxa"/>
        <w:jc w:val="left"/>
        <w:tblInd w:w="-75" w:type="dxa"/>
        <w:tblBorders>
          <w:top w:val="thickThinLargeGap" w:sz="6" w:space="0" w:color="C0C0C0"/>
          <w:left w:val="thickThinLargeGap" w:sz="6" w:space="0" w:color="C0C0C0"/>
          <w:bottom w:val="thickThinLargeGap" w:sz="6" w:space="0" w:color="C0C0C0"/>
          <w:insideH w:val="thickThinLargeGap" w:sz="6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6750"/>
        <w:gridCol w:w="3344"/>
      </w:tblGrid>
      <w:tr>
        <w:trPr>
          <w:trHeight w:val="277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1970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Для размещения хлебозавода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1298,5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61,8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22,15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5,85 — цех, 3,75 — основное здание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0,4176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Советская, д.74Б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Потребительское общество «Ильинское»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Богуш Валентина Николаевна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8(49353) 2-11-35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+7-964-495-95-79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Одноэтажное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(ТП —  трансформаторная подстанция 1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Газовое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Газовая котельная (мощность 200 кВт)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(0,8 км.)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0,05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100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0" w:right="794" w:hanging="0"/>
              <w:jc w:val="left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Аренда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1075837,50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</w:t>
            </w:r>
            <w:r>
              <w:rPr>
                <w:color w:val="FF3333"/>
                <w:sz w:val="20"/>
                <w:szCs w:val="20"/>
              </w:rPr>
              <w:t xml:space="preserve">  </w:t>
            </w:r>
            <w:r>
              <w:rPr>
                <w:color w:val="000000"/>
                <w:sz w:val="20"/>
                <w:szCs w:val="20"/>
              </w:rPr>
              <w:t xml:space="preserve">26.12.2001г. 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Продажа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Требуется капитальный и косметический ремонт</w:t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6750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33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31.01.2019г</w:t>
            </w:r>
          </w:p>
        </w:tc>
      </w:tr>
    </w:tbl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-371475</wp:posOffset>
            </wp:positionH>
            <wp:positionV relativeFrom="paragraph">
              <wp:posOffset>144780</wp:posOffset>
            </wp:positionV>
            <wp:extent cx="6966585" cy="4480560"/>
            <wp:effectExtent l="0" t="0" r="0" b="0"/>
            <wp:wrapSquare wrapText="largest"/>
            <wp:docPr id="16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8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96520</wp:posOffset>
            </wp:positionH>
            <wp:positionV relativeFrom="paragraph">
              <wp:posOffset>34290</wp:posOffset>
            </wp:positionV>
            <wp:extent cx="6162675" cy="8336280"/>
            <wp:effectExtent l="0" t="0" r="0" b="0"/>
            <wp:wrapSquare wrapText="largest"/>
            <wp:docPr id="17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/>
      </w:pPr>
      <w:r>
        <w:rPr>
          <w:b/>
          <w:color w:val="000000"/>
          <w:sz w:val="20"/>
          <w:szCs w:val="20"/>
        </w:rPr>
        <w:br/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227445" cy="4973320"/>
            <wp:effectExtent l="0" t="0" r="0" b="0"/>
            <wp:wrapSquare wrapText="largest"/>
            <wp:docPr id="18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spacing w:before="240" w:after="60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p>
      <w:pPr>
        <w:pStyle w:val="Normal"/>
        <w:jc w:val="center"/>
        <w:rPr/>
      </w:pPr>
      <w:r>
        <w:rPr>
          <w:b/>
          <w:color w:val="000000"/>
          <w:sz w:val="20"/>
          <w:szCs w:val="20"/>
        </w:rPr>
        <w:t xml:space="preserve">Паспорт «коричневой» площадки </w:t>
      </w:r>
      <w:r>
        <w:rPr>
          <w:b/>
          <w:color w:val="000000"/>
          <w:sz w:val="20"/>
          <w:szCs w:val="20"/>
          <w:lang w:val="ru-RU"/>
        </w:rPr>
        <w:t>________</w:t>
      </w:r>
      <w:r>
        <w:rPr>
          <w:b/>
          <w:color w:val="000000"/>
          <w:sz w:val="20"/>
          <w:szCs w:val="20"/>
          <w:u w:val="single"/>
          <w:lang w:val="en-US"/>
        </w:rPr>
        <w:t xml:space="preserve">Нежилое </w:t>
      </w:r>
      <w:r>
        <w:rPr>
          <w:b/>
          <w:color w:val="000000"/>
          <w:sz w:val="20"/>
          <w:szCs w:val="20"/>
          <w:u w:val="single"/>
          <w:lang w:val="ru-RU"/>
        </w:rPr>
        <w:t>здание</w:t>
      </w:r>
      <w:r>
        <w:rPr>
          <w:b/>
          <w:color w:val="000000"/>
          <w:sz w:val="20"/>
          <w:szCs w:val="20"/>
          <w:u w:val="single"/>
          <w:lang w:val="en-US"/>
        </w:rPr>
        <w:t>_</w:t>
      </w:r>
      <w:r>
        <w:rPr>
          <w:b/>
          <w:color w:val="000000"/>
          <w:sz w:val="20"/>
          <w:szCs w:val="20"/>
          <w:lang w:val="ru-RU"/>
        </w:rPr>
        <w:t>___________________________________</w:t>
      </w:r>
    </w:p>
    <w:p>
      <w:pPr>
        <w:pStyle w:val="Normal"/>
        <w:jc w:val="center"/>
        <w:rPr>
          <w:b/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</w:r>
    </w:p>
    <w:tbl>
      <w:tblPr>
        <w:tblW w:w="9867" w:type="dxa"/>
        <w:jc w:val="left"/>
        <w:tblInd w:w="-105" w:type="dxa"/>
        <w:tblBorders>
          <w:top w:val="thickThinLargeGap" w:sz="6" w:space="0" w:color="C0C0C0"/>
          <w:left w:val="thickThinLargeGap" w:sz="6" w:space="0" w:color="C0C0C0"/>
          <w:bottom w:val="thickThinLargeGap" w:sz="6" w:space="0" w:color="C0C0C0"/>
          <w:insideH w:val="thickThinLargeGap" w:sz="6" w:space="0" w:color="C0C0C0"/>
        </w:tblBorders>
        <w:tblCellMar>
          <w:top w:w="15" w:type="dxa"/>
          <w:left w:w="-30" w:type="dxa"/>
          <w:bottom w:w="15" w:type="dxa"/>
          <w:right w:w="15" w:type="dxa"/>
        </w:tblCellMar>
      </w:tblPr>
      <w:tblGrid>
        <w:gridCol w:w="5744"/>
        <w:gridCol w:w="4122"/>
      </w:tblGrid>
      <w:tr>
        <w:trPr>
          <w:trHeight w:val="277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b/>
                <w:color w:val="000000"/>
                <w:sz w:val="20"/>
                <w:szCs w:val="20"/>
              </w:rPr>
              <w:t>Неиспользованное здание, сооружение  или незавершенное строительство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b/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Неиспользуемое здание</w:t>
            </w:r>
          </w:p>
        </w:tc>
      </w:tr>
      <w:tr>
        <w:trPr>
          <w:trHeight w:val="245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Класс объекта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ind w:left="0" w:right="708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Нежилое здание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Инвентаризационная оценка (руб.)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Балансовая стоимость, тыс.руб.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0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widowControl w:val="false"/>
              <w:suppressAutoHyphens w:val="false"/>
              <w:bidi w:val="0"/>
              <w:spacing w:before="0" w:after="0"/>
              <w:ind w:left="397" w:right="0" w:hanging="0"/>
              <w:jc w:val="left"/>
              <w:rPr/>
            </w:pPr>
            <w:r>
              <w:rPr>
                <w:color w:val="000000"/>
                <w:sz w:val="20"/>
                <w:szCs w:val="20"/>
              </w:rPr>
              <w:t xml:space="preserve">Год постройки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1989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Наименование объекта (первичное назначение)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Производственная база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Общая площадь (кв.м.)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1284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Длина (м)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54,96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Ширина (м)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18,76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Высота (м)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3,38 - первый этаж, 8 - склад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2,85 - второй этаж</w:t>
            </w:r>
          </w:p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2,95 - третий этаж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Площадь примыкающей площадки, га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0,6106, асфальтовая площадка — 2500 кв.м.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Категория земель (формулировка в соответствии с Земельным Кодексом РФ)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населенных пунктов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Описание земельного участка (форма, рельеф и т.п.)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Прямоугольной формы, рельеф-ровный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местоположения объекта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Адресная часть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Ивановская область, Ильинский район, п. Ильинское-Хованское, ул. Садовая, 39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Собственник</w:t>
            </w:r>
            <w:r>
              <w:rPr>
                <w:color w:val="000000"/>
                <w:sz w:val="20"/>
                <w:szCs w:val="20"/>
              </w:rPr>
              <w:t xml:space="preserve">(принадлежность объекта)                        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Частная собственность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Контактное лицо</w:t>
            </w:r>
            <w:r>
              <w:rPr>
                <w:color w:val="000000"/>
                <w:sz w:val="20"/>
                <w:szCs w:val="20"/>
              </w:rPr>
              <w:t xml:space="preserve"> (ФИО)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spacing w:before="0" w:after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Савельев Валерий Витальевич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Координаты для контакта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+7-920-355-54-37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Описание конструкций объекта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u w:val="single"/>
              </w:rPr>
            </w:pPr>
            <w:r>
              <w:rPr>
                <w:color w:val="000000"/>
                <w:sz w:val="20"/>
                <w:szCs w:val="20"/>
                <w:u w:val="single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Этажность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Трехэтажное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Материал стен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Кирпич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Фотографии, схемы, планы помещений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Схема и планы прилагаются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Инженерные коммуникации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Водопровод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Электроэнергия 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</w:rPr>
              <w:t xml:space="preserve">Имеется (ЗТП — закрытая трансформаторная подстанция 2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x 250 </w:t>
            </w:r>
            <w:r>
              <w:rPr>
                <w:color w:val="000000"/>
                <w:sz w:val="20"/>
                <w:szCs w:val="20"/>
                <w:lang w:val="ru-RU"/>
              </w:rPr>
              <w:t>КВт</w:t>
            </w:r>
            <w:r>
              <w:rPr>
                <w:color w:val="000000"/>
                <w:sz w:val="20"/>
                <w:szCs w:val="20"/>
                <w:lang w:val="en-US"/>
              </w:rPr>
              <w:t>)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Отопление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>Газовая котельная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Газ (мощность в наличии,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Теплогенератор (мощность - 80 кВт)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Канализация (состояние, имеется, есть возможность подключения, </w:t>
            </w:r>
            <w:r>
              <w:rPr>
                <w:b/>
                <w:color w:val="000000"/>
                <w:sz w:val="20"/>
                <w:szCs w:val="20"/>
              </w:rPr>
              <w:t>расстояние до точки подключения</w:t>
            </w:r>
            <w:r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Центральная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Подъездные пути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Наличие собственных подъездных путей (имеется дорога с асфальтовым или грунтовым покрытием, отсутствует)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Имеется дорога с асфальтовым покрытием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Наличие собственной ж/д ветки (имеется, отсутствует)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Отсутствует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основных автомагистралей (км)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Автодорога республиканского значения: Ростов-Иваново-Н.Новгород — 0,010</w:t>
            </w:r>
          </w:p>
        </w:tc>
      </w:tr>
      <w:tr>
        <w:trPr>
          <w:trHeight w:val="345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Расстояние до ж/д станции (км)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г.Тейково (Ивановская область) — 48 км.</w:t>
            </w:r>
          </w:p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г.Ростов (Ярославская область) — 53 км.</w:t>
            </w:r>
          </w:p>
        </w:tc>
      </w:tr>
      <w:tr>
        <w:trPr>
          <w:trHeight w:val="345" w:hRule="atLeast"/>
        </w:trPr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точки врезки ж/д путей (км)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Расстояние до ближайшего жилья (км)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ind w:left="118" w:right="0" w:hang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Возможность расширения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Возможность обособления территории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Имеется</w:t>
            </w:r>
          </w:p>
        </w:tc>
      </w:tr>
      <w:tr>
        <w:trPr/>
        <w:tc>
          <w:tcPr>
            <w:tcW w:w="986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Юридическая документация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Вид права на объект и наличие правоустанавливающей документации на земельный участок под объектом (желательно приложить  выписки  из  ГЗК, либо КПТ)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 от 07.09.2015 г. № 37СС 649318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Кадастровая стоимость земельного участка, на котором находится объект (руб.)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1401831,00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Наличие технической документации, дата проведения последней инвентаризации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Техническая инвентаризация от   12.04.2007г. 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 xml:space="preserve">Обременения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Предлагаемые формы реализации (форма участия)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Аренда, продажа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  <w:u w:val="single"/>
              </w:rPr>
              <w:t>Процент готовности к реализации (состояние объекта)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100%</w:t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color w:val="000000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napToGrid w:val="false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</w:r>
          </w:p>
        </w:tc>
      </w:tr>
      <w:tr>
        <w:trPr/>
        <w:tc>
          <w:tcPr>
            <w:tcW w:w="57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insideH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spacing w:before="0" w:after="0"/>
              <w:rPr/>
            </w:pPr>
            <w:r>
              <w:rPr>
                <w:b/>
                <w:color w:val="000000"/>
                <w:sz w:val="20"/>
                <w:szCs w:val="20"/>
              </w:rPr>
              <w:t xml:space="preserve">Дата подготовки сведений </w:t>
            </w:r>
          </w:p>
        </w:tc>
        <w:tc>
          <w:tcPr>
            <w:tcW w:w="412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  <w:insideH w:val="thickThinLargeGap" w:sz="6" w:space="0" w:color="C0C0C0"/>
              <w:insideV w:val="thickThinLargeGap" w:sz="6" w:space="0" w:color="C0C0C0"/>
            </w:tcBorders>
            <w:shd w:fill="auto" w:val="clear"/>
            <w:tcMar>
              <w:left w:w="-30" w:type="dxa"/>
            </w:tcMar>
            <w:vAlign w:val="center"/>
          </w:tcPr>
          <w:p>
            <w:pPr>
              <w:pStyle w:val="Normal"/>
              <w:rPr/>
            </w:pPr>
            <w:r>
              <w:rPr>
                <w:color w:val="000000"/>
                <w:sz w:val="20"/>
                <w:szCs w:val="20"/>
              </w:rPr>
              <w:t> </w:t>
            </w:r>
            <w:r>
              <w:rPr>
                <w:color w:val="000000"/>
                <w:sz w:val="20"/>
                <w:szCs w:val="20"/>
              </w:rPr>
              <w:t>30.01.2019г.</w:t>
            </w:r>
          </w:p>
        </w:tc>
      </w:tr>
    </w:tbl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rPr>
          <w:b/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  <w:t>Схема расположения земельного участка, находящегося по адресу: Ивановская область, Ильтинский район, п. Ильинское-Хованское, ул. Садовая, д.39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</w:r>
    </w:p>
    <w:p>
      <w:pPr>
        <w:pStyle w:val="Normal"/>
        <w:jc w:val="left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  <w:drawing>
          <wp:inline distT="0" distB="0" distL="0" distR="0">
            <wp:extent cx="5720080" cy="3700145"/>
            <wp:effectExtent l="0" t="0" r="0" b="0"/>
            <wp:docPr id="19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before="240" w:after="60"/>
        <w:jc w:val="center"/>
        <w:rPr/>
      </w:pPr>
      <w:r>
        <w:rPr/>
        <w:drawing>
          <wp:inline distT="0" distB="0" distL="0" distR="0">
            <wp:extent cx="5347970" cy="3705860"/>
            <wp:effectExtent l="0" t="0" r="0" b="0"/>
            <wp:docPr id="20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779145</wp:posOffset>
            </wp:positionH>
            <wp:positionV relativeFrom="paragraph">
              <wp:posOffset>9157335</wp:posOffset>
            </wp:positionV>
            <wp:extent cx="4878070" cy="9554845"/>
            <wp:effectExtent l="0" t="0" r="0" b="0"/>
            <wp:wrapSquare wrapText="largest"/>
            <wp:docPr id="21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955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62"/>
      <w:type w:val="nextPage"/>
      <w:pgSz w:w="11906" w:h="16838"/>
      <w:pgMar w:left="1110" w:right="567" w:header="0" w:top="420" w:footer="709" w:bottom="851" w:gutter="0"/>
      <w:pgNumType w:fmt="decimal"/>
      <w:formProt w:val="false"/>
      <w:textDirection w:val="lrTb"/>
      <w:docGrid w:type="default" w:linePitch="360" w:charSpace="20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Cambria">
    <w:charset w:val="cc"/>
    <w:family w:val="roman"/>
    <w:pitch w:val="variable"/>
  </w:font>
  <w:font w:name="Tahoma">
    <w:charset w:val="cc"/>
    <w:family w:val="roman"/>
    <w:pitch w:val="variable"/>
  </w:font>
  <w:font w:name="Bookman Old Style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12</w:t>
    </w:r>
    <w:r>
      <w:fldChar w:fldCharType="end"/>
    </w:r>
  </w:p>
  <w:p>
    <w:pPr>
      <w:pStyle w:val="Style23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13</w:t>
    </w:r>
    <w:r>
      <w:fldChar w:fldCharType="end"/>
    </w:r>
  </w:p>
  <w:p>
    <w:pPr>
      <w:pStyle w:val="Style23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17</w:t>
    </w:r>
    <w:r>
      <w:fldChar w:fldCharType="end"/>
    </w:r>
  </w:p>
  <w:p>
    <w:pPr>
      <w:pStyle w:val="Style23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18</w:t>
    </w:r>
    <w:r>
      <w:fldChar w:fldCharType="end"/>
    </w:r>
  </w:p>
  <w:p>
    <w:pPr>
      <w:pStyle w:val="Style23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23</w:t>
    </w:r>
    <w:r>
      <w:fldChar w:fldCharType="end"/>
    </w:r>
  </w:p>
  <w:p>
    <w:pPr>
      <w:pStyle w:val="Style23"/>
      <w:rPr/>
    </w:pPr>
    <w:r>
      <w:rPr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23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34</w:t>
    </w:r>
    <w:r>
      <w:fldChar w:fldCharType="end"/>
    </w:r>
  </w:p>
  <w:p>
    <w:pPr>
      <w:pStyle w:val="Style23"/>
      <w:rPr/>
    </w:pPr>
    <w:r>
      <w:rPr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  <w:b/>
        <w:rFonts w:cs="Courier New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2"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4"/>
        <w:rFonts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locked="1" w:uiPriority="0" w:semiHidden="0" w:unhideWhenUsed="0" w:qFormat="1"/>
    <w:lsdException w:name="heading 1" w:locked="1" w:uiPriority="0" w:semiHidden="0" w:unhideWhenUsed="0" w:qFormat="1"/>
    <w:lsdException w:name="heading 2" w:locked="1" w:uiPriority="0" w:semiHidden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uiPriority="0" w:semiHidden="0" w:unhideWhenUsed="0"/>
    <w:lsdException w:name="footer" w:locked="1" w:uiPriority="0" w:semiHidden="0" w:unhideWhenUsed="0"/>
    <w:lsdException w:name="caption" w:locked="1" w:uiPriority="0" w:qFormat="1"/>
    <w:lsdException w:name="Title" w:locked="1" w:uiPriority="0" w:semiHidden="0" w:unhideWhenUsed="0" w:qFormat="1"/>
    <w:lsdException w:name="Default Paragraph Font" w:uiPriority="1"/>
    <w:lsdException w:name="Subtitle" w:locked="1" w:uiPriority="0" w:semiHidden="0" w:unhideWhenUsed="0" w:qFormat="1"/>
    <w:lsdException w:name="Strong" w:locked="1" w:uiPriority="0" w:semiHidden="0" w:unhideWhenUsed="0" w:qFormat="1"/>
    <w:lsdException w:name="Emphasis" w:locked="1" w:uiPriority="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e624c1"/>
    <w:pPr>
      <w:widowControl w:val="false"/>
      <w:suppressAutoHyphens w:val="false"/>
      <w:bidi w:val="0"/>
      <w:jc w:val="left"/>
    </w:pPr>
    <w:rPr>
      <w:rFonts w:ascii="Times New Roman" w:hAnsi="Times New Roman" w:eastAsia="Times New Roman" w:cs="Times New Roman"/>
      <w:color w:val="00000A"/>
      <w:sz w:val="20"/>
      <w:szCs w:val="20"/>
      <w:lang w:val="ru-RU" w:eastAsia="ru-RU" w:bidi="ar-SA"/>
    </w:rPr>
  </w:style>
  <w:style w:type="paragraph" w:styleId="2">
    <w:name w:val="Heading 2"/>
    <w:basedOn w:val="Normal"/>
    <w:link w:val="20"/>
    <w:uiPriority w:val="99"/>
    <w:qFormat/>
    <w:rsid w:val="00422f54"/>
    <w:pPr>
      <w:keepNext/>
      <w:widowControl/>
      <w:spacing w:lineRule="auto" w:line="276" w:before="240" w:after="60"/>
      <w:outlineLvl w:val="1"/>
    </w:pPr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1" w:customStyle="1">
    <w:name w:val="Заголовок 2 Знак"/>
    <w:basedOn w:val="DefaultParagraphFont"/>
    <w:link w:val="2"/>
    <w:uiPriority w:val="99"/>
    <w:qFormat/>
    <w:locked/>
    <w:rsid w:val="00422f54"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styleId="Style13">
    <w:name w:val="Интернет-ссылка"/>
    <w:basedOn w:val="DefaultParagraphFont"/>
    <w:uiPriority w:val="99"/>
    <w:rsid w:val="00e624c1"/>
    <w:rPr>
      <w:color w:val="0000FF"/>
      <w:u w:val="single"/>
    </w:rPr>
  </w:style>
  <w:style w:type="character" w:styleId="Style14" w:customStyle="1">
    <w:name w:val="Верхний колонтитул Знак"/>
    <w:basedOn w:val="DefaultParagraphFont"/>
    <w:link w:val="a4"/>
    <w:uiPriority w:val="99"/>
    <w:qFormat/>
    <w:locked/>
    <w:rsid w:val="004f3d9a"/>
    <w:rPr/>
  </w:style>
  <w:style w:type="character" w:styleId="Style15" w:customStyle="1">
    <w:name w:val="Нижний колонтитул Знак"/>
    <w:basedOn w:val="DefaultParagraphFont"/>
    <w:link w:val="a6"/>
    <w:uiPriority w:val="99"/>
    <w:qFormat/>
    <w:locked/>
    <w:rsid w:val="004f3d9a"/>
    <w:rPr/>
  </w:style>
  <w:style w:type="character" w:styleId="Style16" w:customStyle="1">
    <w:name w:val="Текст выноски Знак"/>
    <w:basedOn w:val="DefaultParagraphFont"/>
    <w:link w:val="a9"/>
    <w:uiPriority w:val="99"/>
    <w:qFormat/>
    <w:locked/>
    <w:rsid w:val="00df566a"/>
    <w:rPr>
      <w:rFonts w:ascii="Tahoma" w:hAnsi="Tahoma" w:cs="Tahoma"/>
      <w:sz w:val="16"/>
      <w:szCs w:val="16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ascii="Bookman Old Style" w:hAnsi="Bookman Old Style" w:cs="Courier New"/>
      <w:b/>
      <w:sz w:val="24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Wingdings"/>
    </w:rPr>
  </w:style>
  <w:style w:type="character" w:styleId="ListLabel6">
    <w:name w:val="ListLabel 6"/>
    <w:qFormat/>
    <w:rPr>
      <w:rFonts w:cs="Symbol"/>
    </w:rPr>
  </w:style>
  <w:style w:type="character" w:styleId="ListLabel7">
    <w:name w:val="ListLabel 7"/>
    <w:qFormat/>
    <w:rPr>
      <w:rFonts w:cs="Courier New"/>
    </w:rPr>
  </w:style>
  <w:style w:type="character" w:styleId="ListLabel8">
    <w:name w:val="ListLabel 8"/>
    <w:qFormat/>
    <w:rPr>
      <w:rFonts w:cs="Wingdings"/>
    </w:rPr>
  </w:style>
  <w:style w:type="character" w:styleId="ListLabel9">
    <w:name w:val="ListLabel 9"/>
    <w:qFormat/>
    <w:rPr>
      <w:rFonts w:cs="Symbol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Wingdings"/>
    </w:rPr>
  </w:style>
  <w:style w:type="character" w:styleId="ListLabel12">
    <w:name w:val="ListLabel 12"/>
    <w:qFormat/>
    <w:rPr>
      <w:color w:val="000000"/>
    </w:rPr>
  </w:style>
  <w:style w:type="character" w:styleId="ListLabel13">
    <w:name w:val="ListLabel 13"/>
    <w:qFormat/>
    <w:rPr>
      <w:color w:val="000000"/>
    </w:rPr>
  </w:style>
  <w:style w:type="character" w:styleId="ListLabel14">
    <w:name w:val="ListLabel 14"/>
    <w:qFormat/>
    <w:rPr>
      <w:color w:val="00000A"/>
    </w:rPr>
  </w:style>
  <w:style w:type="character" w:styleId="ListLabel15">
    <w:name w:val="ListLabel 15"/>
    <w:qFormat/>
    <w:rPr>
      <w:color w:val="000000"/>
    </w:rPr>
  </w:style>
  <w:style w:type="character" w:styleId="ListLabel16">
    <w:name w:val="ListLabel 16"/>
    <w:qFormat/>
    <w:rPr>
      <w:color w:val="000000"/>
    </w:rPr>
  </w:style>
  <w:style w:type="character" w:styleId="ListLabel17">
    <w:name w:val="ListLabel 17"/>
    <w:qFormat/>
    <w:rPr>
      <w:color w:val="000000"/>
    </w:rPr>
  </w:style>
  <w:style w:type="character" w:styleId="ListLabel18">
    <w:name w:val="ListLabel 18"/>
    <w:qFormat/>
    <w:rPr>
      <w:color w:val="000000"/>
    </w:rPr>
  </w:style>
  <w:style w:type="character" w:styleId="ListLabel19">
    <w:name w:val="ListLabel 19"/>
    <w:qFormat/>
    <w:rPr>
      <w:color w:val="000000"/>
    </w:rPr>
  </w:style>
  <w:style w:type="character" w:styleId="ListLabel20">
    <w:name w:val="ListLabel 20"/>
    <w:qFormat/>
    <w:rPr>
      <w:color w:val="000000"/>
    </w:rPr>
  </w:style>
  <w:style w:type="character" w:styleId="ListLabel21">
    <w:name w:val="ListLabel 21"/>
    <w:qFormat/>
    <w:rPr>
      <w:rFonts w:ascii="Bookman Old Style" w:hAnsi="Bookman Old Style" w:cs="Courier New"/>
      <w:sz w:val="24"/>
    </w:rPr>
  </w:style>
  <w:style w:type="character" w:styleId="ListLabel22">
    <w:name w:val="ListLabel 22"/>
    <w:qFormat/>
    <w:rPr>
      <w:rFonts w:cs="Courier New"/>
    </w:rPr>
  </w:style>
  <w:style w:type="character" w:styleId="ListLabel23">
    <w:name w:val="ListLabel 23"/>
    <w:qFormat/>
    <w:rPr>
      <w:rFonts w:cs="Wingdings"/>
    </w:rPr>
  </w:style>
  <w:style w:type="character" w:styleId="ListLabel24">
    <w:name w:val="ListLabel 24"/>
    <w:qFormat/>
    <w:rPr>
      <w:rFonts w:cs="Symbol"/>
    </w:rPr>
  </w:style>
  <w:style w:type="character" w:styleId="ListLabel25">
    <w:name w:val="ListLabel 25"/>
    <w:qFormat/>
    <w:rPr>
      <w:rFonts w:cs="Courier New"/>
    </w:rPr>
  </w:style>
  <w:style w:type="character" w:styleId="ListLabel26">
    <w:name w:val="ListLabel 26"/>
    <w:qFormat/>
    <w:rPr>
      <w:rFonts w:cs="Wingdings"/>
    </w:rPr>
  </w:style>
  <w:style w:type="character" w:styleId="ListLabel27">
    <w:name w:val="ListLabel 27"/>
    <w:qFormat/>
    <w:rPr>
      <w:rFonts w:cs="Symbol"/>
    </w:rPr>
  </w:style>
  <w:style w:type="character" w:styleId="ListLabel28">
    <w:name w:val="ListLabel 28"/>
    <w:qFormat/>
    <w:rPr>
      <w:rFonts w:cs="Courier New"/>
    </w:rPr>
  </w:style>
  <w:style w:type="character" w:styleId="ListLabel29">
    <w:name w:val="ListLabel 29"/>
    <w:qFormat/>
    <w:rPr>
      <w:rFonts w:cs="Wingdings"/>
    </w:rPr>
  </w:style>
  <w:style w:type="character" w:styleId="ListLabel30">
    <w:name w:val="ListLabel 30"/>
    <w:qFormat/>
    <w:rPr>
      <w:rFonts w:ascii="Bookman Old Style" w:hAnsi="Bookman Old Style" w:cs="Courier New"/>
      <w:b/>
      <w:sz w:val="24"/>
    </w:rPr>
  </w:style>
  <w:style w:type="character" w:styleId="ListLabel31">
    <w:name w:val="ListLabel 31"/>
    <w:qFormat/>
    <w:rPr>
      <w:rFonts w:cs="Courier New"/>
    </w:rPr>
  </w:style>
  <w:style w:type="character" w:styleId="ListLabel32">
    <w:name w:val="ListLabel 32"/>
    <w:qFormat/>
    <w:rPr>
      <w:rFonts w:cs="Wingdings"/>
    </w:rPr>
  </w:style>
  <w:style w:type="character" w:styleId="ListLabel33">
    <w:name w:val="ListLabel 33"/>
    <w:qFormat/>
    <w:rPr>
      <w:rFonts w:cs="Symbol"/>
    </w:rPr>
  </w:style>
  <w:style w:type="character" w:styleId="ListLabel34">
    <w:name w:val="ListLabel 34"/>
    <w:qFormat/>
    <w:rPr>
      <w:rFonts w:cs="Courier New"/>
    </w:rPr>
  </w:style>
  <w:style w:type="character" w:styleId="ListLabel35">
    <w:name w:val="ListLabel 35"/>
    <w:qFormat/>
    <w:rPr>
      <w:rFonts w:cs="Wingdings"/>
    </w:rPr>
  </w:style>
  <w:style w:type="character" w:styleId="ListLabel36">
    <w:name w:val="ListLabel 36"/>
    <w:qFormat/>
    <w:rPr>
      <w:rFonts w:cs="Symbol"/>
    </w:rPr>
  </w:style>
  <w:style w:type="character" w:styleId="ListLabel37">
    <w:name w:val="ListLabel 37"/>
    <w:qFormat/>
    <w:rPr>
      <w:rFonts w:cs="Courier New"/>
    </w:rPr>
  </w:style>
  <w:style w:type="character" w:styleId="ListLabel38">
    <w:name w:val="ListLabel 38"/>
    <w:qFormat/>
    <w:rPr>
      <w:rFonts w:cs="Wingdings"/>
    </w:rPr>
  </w:style>
  <w:style w:type="character" w:styleId="ListLabel39">
    <w:name w:val="ListLabel 39"/>
    <w:qFormat/>
    <w:rPr>
      <w:rFonts w:ascii="Bookman Old Style" w:hAnsi="Bookman Old Style" w:cs="Courier New"/>
      <w:sz w:val="24"/>
    </w:rPr>
  </w:style>
  <w:style w:type="character" w:styleId="ListLabel40">
    <w:name w:val="ListLabel 40"/>
    <w:qFormat/>
    <w:rPr>
      <w:rFonts w:cs="Courier New"/>
    </w:rPr>
  </w:style>
  <w:style w:type="character" w:styleId="ListLabel41">
    <w:name w:val="ListLabel 41"/>
    <w:qFormat/>
    <w:rPr>
      <w:rFonts w:cs="Wingdings"/>
    </w:rPr>
  </w:style>
  <w:style w:type="character" w:styleId="ListLabel42">
    <w:name w:val="ListLabel 42"/>
    <w:qFormat/>
    <w:rPr>
      <w:rFonts w:cs="Symbol"/>
    </w:rPr>
  </w:style>
  <w:style w:type="character" w:styleId="ListLabel43">
    <w:name w:val="ListLabel 43"/>
    <w:qFormat/>
    <w:rPr>
      <w:rFonts w:cs="Courier New"/>
    </w:rPr>
  </w:style>
  <w:style w:type="character" w:styleId="ListLabel44">
    <w:name w:val="ListLabel 44"/>
    <w:qFormat/>
    <w:rPr>
      <w:rFonts w:cs="Wingdings"/>
    </w:rPr>
  </w:style>
  <w:style w:type="character" w:styleId="ListLabel45">
    <w:name w:val="ListLabel 45"/>
    <w:qFormat/>
    <w:rPr>
      <w:rFonts w:cs="Symbol"/>
    </w:rPr>
  </w:style>
  <w:style w:type="character" w:styleId="ListLabel46">
    <w:name w:val="ListLabel 46"/>
    <w:qFormat/>
    <w:rPr>
      <w:rFonts w:cs="Courier New"/>
    </w:rPr>
  </w:style>
  <w:style w:type="character" w:styleId="ListLabel47">
    <w:name w:val="ListLabel 47"/>
    <w:qFormat/>
    <w:rPr>
      <w:rFonts w:cs="Wingdings"/>
    </w:rPr>
  </w:style>
  <w:style w:type="character" w:styleId="ListLabel48">
    <w:name w:val="ListLabel 48"/>
    <w:qFormat/>
    <w:rPr>
      <w:rFonts w:ascii="Bookman Old Style" w:hAnsi="Bookman Old Style" w:cs="Courier New"/>
      <w:b/>
      <w:sz w:val="24"/>
    </w:rPr>
  </w:style>
  <w:style w:type="character" w:styleId="ListLabel49">
    <w:name w:val="ListLabel 49"/>
    <w:qFormat/>
    <w:rPr>
      <w:rFonts w:cs="Courier New"/>
    </w:rPr>
  </w:style>
  <w:style w:type="character" w:styleId="ListLabel50">
    <w:name w:val="ListLabel 50"/>
    <w:qFormat/>
    <w:rPr>
      <w:rFonts w:cs="Wingdings"/>
    </w:rPr>
  </w:style>
  <w:style w:type="character" w:styleId="ListLabel51">
    <w:name w:val="ListLabel 51"/>
    <w:qFormat/>
    <w:rPr>
      <w:rFonts w:cs="Symbol"/>
    </w:rPr>
  </w:style>
  <w:style w:type="character" w:styleId="ListLabel52">
    <w:name w:val="ListLabel 52"/>
    <w:qFormat/>
    <w:rPr>
      <w:rFonts w:cs="Courier New"/>
    </w:rPr>
  </w:style>
  <w:style w:type="character" w:styleId="ListLabel53">
    <w:name w:val="ListLabel 53"/>
    <w:qFormat/>
    <w:rPr>
      <w:rFonts w:cs="Wingdings"/>
    </w:rPr>
  </w:style>
  <w:style w:type="character" w:styleId="ListLabel54">
    <w:name w:val="ListLabel 54"/>
    <w:qFormat/>
    <w:rPr>
      <w:rFonts w:cs="Symbol"/>
    </w:rPr>
  </w:style>
  <w:style w:type="character" w:styleId="ListLabel55">
    <w:name w:val="ListLabel 55"/>
    <w:qFormat/>
    <w:rPr>
      <w:rFonts w:cs="Courier New"/>
    </w:rPr>
  </w:style>
  <w:style w:type="character" w:styleId="ListLabel56">
    <w:name w:val="ListLabel 56"/>
    <w:qFormat/>
    <w:rPr>
      <w:rFonts w:cs="Wingdings"/>
    </w:rPr>
  </w:style>
  <w:style w:type="character" w:styleId="ListLabel57">
    <w:name w:val="ListLabel 57"/>
    <w:qFormat/>
    <w:rPr>
      <w:rFonts w:ascii="Bookman Old Style" w:hAnsi="Bookman Old Style" w:cs="Courier New"/>
      <w:sz w:val="24"/>
    </w:rPr>
  </w:style>
  <w:style w:type="character" w:styleId="ListLabel58">
    <w:name w:val="ListLabel 58"/>
    <w:qFormat/>
    <w:rPr>
      <w:rFonts w:cs="Courier New"/>
    </w:rPr>
  </w:style>
  <w:style w:type="character" w:styleId="ListLabel59">
    <w:name w:val="ListLabel 59"/>
    <w:qFormat/>
    <w:rPr>
      <w:rFonts w:cs="Wingdings"/>
    </w:rPr>
  </w:style>
  <w:style w:type="character" w:styleId="ListLabel60">
    <w:name w:val="ListLabel 60"/>
    <w:qFormat/>
    <w:rPr>
      <w:rFonts w:cs="Symbol"/>
    </w:rPr>
  </w:style>
  <w:style w:type="character" w:styleId="ListLabel61">
    <w:name w:val="ListLabel 61"/>
    <w:qFormat/>
    <w:rPr>
      <w:rFonts w:cs="Courier New"/>
    </w:rPr>
  </w:style>
  <w:style w:type="character" w:styleId="ListLabel62">
    <w:name w:val="ListLabel 62"/>
    <w:qFormat/>
    <w:rPr>
      <w:rFonts w:cs="Wingdings"/>
    </w:rPr>
  </w:style>
  <w:style w:type="character" w:styleId="ListLabel63">
    <w:name w:val="ListLabel 63"/>
    <w:qFormat/>
    <w:rPr>
      <w:rFonts w:cs="Symbol"/>
    </w:rPr>
  </w:style>
  <w:style w:type="character" w:styleId="ListLabel64">
    <w:name w:val="ListLabel 64"/>
    <w:qFormat/>
    <w:rPr>
      <w:rFonts w:cs="Courier New"/>
    </w:rPr>
  </w:style>
  <w:style w:type="character" w:styleId="ListLabel65">
    <w:name w:val="ListLabel 65"/>
    <w:qFormat/>
    <w:rPr>
      <w:rFonts w:cs="Wingdings"/>
    </w:rPr>
  </w:style>
  <w:style w:type="character" w:styleId="ListLabel66">
    <w:name w:val="ListLabel 66"/>
    <w:qFormat/>
    <w:rPr>
      <w:rFonts w:ascii="Bookman Old Style" w:hAnsi="Bookman Old Style" w:cs="Courier New"/>
      <w:b/>
      <w:sz w:val="24"/>
    </w:rPr>
  </w:style>
  <w:style w:type="character" w:styleId="ListLabel67">
    <w:name w:val="ListLabel 67"/>
    <w:qFormat/>
    <w:rPr>
      <w:rFonts w:cs="Courier New"/>
    </w:rPr>
  </w:style>
  <w:style w:type="character" w:styleId="ListLabel68">
    <w:name w:val="ListLabel 68"/>
    <w:qFormat/>
    <w:rPr>
      <w:rFonts w:cs="Wingdings"/>
    </w:rPr>
  </w:style>
  <w:style w:type="character" w:styleId="ListLabel69">
    <w:name w:val="ListLabel 69"/>
    <w:qFormat/>
    <w:rPr>
      <w:rFonts w:cs="Symbol"/>
    </w:rPr>
  </w:style>
  <w:style w:type="character" w:styleId="ListLabel70">
    <w:name w:val="ListLabel 70"/>
    <w:qFormat/>
    <w:rPr>
      <w:rFonts w:cs="Courier New"/>
    </w:rPr>
  </w:style>
  <w:style w:type="character" w:styleId="ListLabel71">
    <w:name w:val="ListLabel 71"/>
    <w:qFormat/>
    <w:rPr>
      <w:rFonts w:cs="Wingdings"/>
    </w:rPr>
  </w:style>
  <w:style w:type="character" w:styleId="ListLabel72">
    <w:name w:val="ListLabel 72"/>
    <w:qFormat/>
    <w:rPr>
      <w:rFonts w:cs="Symbol"/>
    </w:rPr>
  </w:style>
  <w:style w:type="character" w:styleId="ListLabel73">
    <w:name w:val="ListLabel 73"/>
    <w:qFormat/>
    <w:rPr>
      <w:rFonts w:cs="Courier New"/>
    </w:rPr>
  </w:style>
  <w:style w:type="character" w:styleId="ListLabel74">
    <w:name w:val="ListLabel 74"/>
    <w:qFormat/>
    <w:rPr>
      <w:rFonts w:cs="Wingdings"/>
    </w:rPr>
  </w:style>
  <w:style w:type="character" w:styleId="ListLabel75">
    <w:name w:val="ListLabel 75"/>
    <w:qFormat/>
    <w:rPr>
      <w:rFonts w:ascii="Bookman Old Style" w:hAnsi="Bookman Old Style" w:cs="Courier New"/>
      <w:sz w:val="24"/>
    </w:rPr>
  </w:style>
  <w:style w:type="character" w:styleId="ListLabel76">
    <w:name w:val="ListLabel 76"/>
    <w:qFormat/>
    <w:rPr>
      <w:rFonts w:cs="Courier New"/>
    </w:rPr>
  </w:style>
  <w:style w:type="character" w:styleId="ListLabel77">
    <w:name w:val="ListLabel 77"/>
    <w:qFormat/>
    <w:rPr>
      <w:rFonts w:cs="Wingdings"/>
    </w:rPr>
  </w:style>
  <w:style w:type="character" w:styleId="ListLabel78">
    <w:name w:val="ListLabel 78"/>
    <w:qFormat/>
    <w:rPr>
      <w:rFonts w:cs="Symbol"/>
    </w:rPr>
  </w:style>
  <w:style w:type="character" w:styleId="ListLabel79">
    <w:name w:val="ListLabel 79"/>
    <w:qFormat/>
    <w:rPr>
      <w:rFonts w:cs="Courier New"/>
    </w:rPr>
  </w:style>
  <w:style w:type="character" w:styleId="ListLabel80">
    <w:name w:val="ListLabel 80"/>
    <w:qFormat/>
    <w:rPr>
      <w:rFonts w:cs="Wingdings"/>
    </w:rPr>
  </w:style>
  <w:style w:type="character" w:styleId="ListLabel81">
    <w:name w:val="ListLabel 81"/>
    <w:qFormat/>
    <w:rPr>
      <w:rFonts w:cs="Symbol"/>
    </w:rPr>
  </w:style>
  <w:style w:type="character" w:styleId="ListLabel82">
    <w:name w:val="ListLabel 82"/>
    <w:qFormat/>
    <w:rPr>
      <w:rFonts w:cs="Courier New"/>
    </w:rPr>
  </w:style>
  <w:style w:type="character" w:styleId="ListLabel83">
    <w:name w:val="ListLabel 83"/>
    <w:qFormat/>
    <w:rPr>
      <w:rFonts w:cs="Wingdings"/>
    </w:rPr>
  </w:style>
  <w:style w:type="character" w:styleId="ListLabel84">
    <w:name w:val="ListLabel 84"/>
    <w:qFormat/>
    <w:rPr>
      <w:rFonts w:ascii="Bookman Old Style" w:hAnsi="Bookman Old Style" w:cs="Courier New"/>
      <w:b/>
      <w:sz w:val="24"/>
    </w:rPr>
  </w:style>
  <w:style w:type="character" w:styleId="ListLabel85">
    <w:name w:val="ListLabel 85"/>
    <w:qFormat/>
    <w:rPr>
      <w:rFonts w:cs="Courier New"/>
    </w:rPr>
  </w:style>
  <w:style w:type="character" w:styleId="ListLabel86">
    <w:name w:val="ListLabel 86"/>
    <w:qFormat/>
    <w:rPr>
      <w:rFonts w:cs="Wingdings"/>
    </w:rPr>
  </w:style>
  <w:style w:type="character" w:styleId="ListLabel87">
    <w:name w:val="ListLabel 87"/>
    <w:qFormat/>
    <w:rPr>
      <w:rFonts w:cs="Symbol"/>
    </w:rPr>
  </w:style>
  <w:style w:type="character" w:styleId="ListLabel88">
    <w:name w:val="ListLabel 88"/>
    <w:qFormat/>
    <w:rPr>
      <w:rFonts w:cs="Courier New"/>
    </w:rPr>
  </w:style>
  <w:style w:type="character" w:styleId="ListLabel89">
    <w:name w:val="ListLabel 89"/>
    <w:qFormat/>
    <w:rPr>
      <w:rFonts w:cs="Wingdings"/>
    </w:rPr>
  </w:style>
  <w:style w:type="character" w:styleId="ListLabel90">
    <w:name w:val="ListLabel 90"/>
    <w:qFormat/>
    <w:rPr>
      <w:rFonts w:cs="Symbol"/>
    </w:rPr>
  </w:style>
  <w:style w:type="character" w:styleId="ListLabel91">
    <w:name w:val="ListLabel 91"/>
    <w:qFormat/>
    <w:rPr>
      <w:rFonts w:cs="Courier New"/>
    </w:rPr>
  </w:style>
  <w:style w:type="character" w:styleId="ListLabel92">
    <w:name w:val="ListLabel 92"/>
    <w:qFormat/>
    <w:rPr>
      <w:rFonts w:cs="Wingdings"/>
    </w:rPr>
  </w:style>
  <w:style w:type="character" w:styleId="ListLabel93">
    <w:name w:val="ListLabel 93"/>
    <w:qFormat/>
    <w:rPr>
      <w:rFonts w:ascii="Bookman Old Style" w:hAnsi="Bookman Old Style" w:cs="Courier New"/>
      <w:sz w:val="24"/>
    </w:rPr>
  </w:style>
  <w:style w:type="character" w:styleId="ListLabel94">
    <w:name w:val="ListLabel 94"/>
    <w:qFormat/>
    <w:rPr>
      <w:rFonts w:cs="Courier New"/>
    </w:rPr>
  </w:style>
  <w:style w:type="character" w:styleId="ListLabel95">
    <w:name w:val="ListLabel 95"/>
    <w:qFormat/>
    <w:rPr>
      <w:rFonts w:cs="Wingdings"/>
    </w:rPr>
  </w:style>
  <w:style w:type="character" w:styleId="ListLabel96">
    <w:name w:val="ListLabel 96"/>
    <w:qFormat/>
    <w:rPr>
      <w:rFonts w:cs="Symbol"/>
    </w:rPr>
  </w:style>
  <w:style w:type="character" w:styleId="ListLabel97">
    <w:name w:val="ListLabel 97"/>
    <w:qFormat/>
    <w:rPr>
      <w:rFonts w:cs="Courier New"/>
    </w:rPr>
  </w:style>
  <w:style w:type="character" w:styleId="ListLabel98">
    <w:name w:val="ListLabel 98"/>
    <w:qFormat/>
    <w:rPr>
      <w:rFonts w:cs="Wingdings"/>
    </w:rPr>
  </w:style>
  <w:style w:type="character" w:styleId="ListLabel99">
    <w:name w:val="ListLabel 99"/>
    <w:qFormat/>
    <w:rPr>
      <w:rFonts w:cs="Symbol"/>
    </w:rPr>
  </w:style>
  <w:style w:type="character" w:styleId="ListLabel100">
    <w:name w:val="ListLabel 100"/>
    <w:qFormat/>
    <w:rPr>
      <w:rFonts w:cs="Courier New"/>
    </w:rPr>
  </w:style>
  <w:style w:type="character" w:styleId="ListLabel101">
    <w:name w:val="ListLabel 101"/>
    <w:qFormat/>
    <w:rPr>
      <w:rFonts w:cs="Wingdings"/>
    </w:rPr>
  </w:style>
  <w:style w:type="character" w:styleId="ListLabel102">
    <w:name w:val="ListLabel 102"/>
    <w:qFormat/>
    <w:rPr>
      <w:rFonts w:ascii="Bookman Old Style" w:hAnsi="Bookman Old Style" w:cs="Courier New"/>
      <w:b/>
      <w:sz w:val="24"/>
    </w:rPr>
  </w:style>
  <w:style w:type="character" w:styleId="ListLabel103">
    <w:name w:val="ListLabel 103"/>
    <w:qFormat/>
    <w:rPr>
      <w:rFonts w:cs="Courier New"/>
    </w:rPr>
  </w:style>
  <w:style w:type="character" w:styleId="ListLabel104">
    <w:name w:val="ListLabel 104"/>
    <w:qFormat/>
    <w:rPr>
      <w:rFonts w:cs="Wingdings"/>
    </w:rPr>
  </w:style>
  <w:style w:type="character" w:styleId="ListLabel105">
    <w:name w:val="ListLabel 105"/>
    <w:qFormat/>
    <w:rPr>
      <w:rFonts w:cs="Symbol"/>
    </w:rPr>
  </w:style>
  <w:style w:type="character" w:styleId="ListLabel106">
    <w:name w:val="ListLabel 106"/>
    <w:qFormat/>
    <w:rPr>
      <w:rFonts w:cs="Courier New"/>
    </w:rPr>
  </w:style>
  <w:style w:type="character" w:styleId="ListLabel107">
    <w:name w:val="ListLabel 107"/>
    <w:qFormat/>
    <w:rPr>
      <w:rFonts w:cs="Wingdings"/>
    </w:rPr>
  </w:style>
  <w:style w:type="character" w:styleId="ListLabel108">
    <w:name w:val="ListLabel 108"/>
    <w:qFormat/>
    <w:rPr>
      <w:rFonts w:cs="Symbol"/>
    </w:rPr>
  </w:style>
  <w:style w:type="character" w:styleId="ListLabel109">
    <w:name w:val="ListLabel 109"/>
    <w:qFormat/>
    <w:rPr>
      <w:rFonts w:cs="Courier New"/>
    </w:rPr>
  </w:style>
  <w:style w:type="character" w:styleId="ListLabel110">
    <w:name w:val="ListLabel 110"/>
    <w:qFormat/>
    <w:rPr>
      <w:rFonts w:cs="Wingdings"/>
    </w:rPr>
  </w:style>
  <w:style w:type="character" w:styleId="ListLabel111">
    <w:name w:val="ListLabel 111"/>
    <w:qFormat/>
    <w:rPr>
      <w:rFonts w:ascii="Bookman Old Style" w:hAnsi="Bookman Old Style" w:cs="Courier New"/>
      <w:sz w:val="24"/>
    </w:rPr>
  </w:style>
  <w:style w:type="character" w:styleId="ListLabel112">
    <w:name w:val="ListLabel 112"/>
    <w:qFormat/>
    <w:rPr>
      <w:rFonts w:cs="Courier New"/>
    </w:rPr>
  </w:style>
  <w:style w:type="character" w:styleId="ListLabel113">
    <w:name w:val="ListLabel 113"/>
    <w:qFormat/>
    <w:rPr>
      <w:rFonts w:cs="Wingdings"/>
    </w:rPr>
  </w:style>
  <w:style w:type="character" w:styleId="ListLabel114">
    <w:name w:val="ListLabel 114"/>
    <w:qFormat/>
    <w:rPr>
      <w:rFonts w:cs="Symbol"/>
    </w:rPr>
  </w:style>
  <w:style w:type="character" w:styleId="ListLabel115">
    <w:name w:val="ListLabel 115"/>
    <w:qFormat/>
    <w:rPr>
      <w:rFonts w:cs="Courier New"/>
    </w:rPr>
  </w:style>
  <w:style w:type="character" w:styleId="ListLabel116">
    <w:name w:val="ListLabel 116"/>
    <w:qFormat/>
    <w:rPr>
      <w:rFonts w:cs="Wingdings"/>
    </w:rPr>
  </w:style>
  <w:style w:type="character" w:styleId="ListLabel117">
    <w:name w:val="ListLabel 117"/>
    <w:qFormat/>
    <w:rPr>
      <w:rFonts w:cs="Symbol"/>
    </w:rPr>
  </w:style>
  <w:style w:type="character" w:styleId="ListLabel118">
    <w:name w:val="ListLabel 118"/>
    <w:qFormat/>
    <w:rPr>
      <w:rFonts w:cs="Courier New"/>
    </w:rPr>
  </w:style>
  <w:style w:type="character" w:styleId="ListLabel119">
    <w:name w:val="ListLabel 119"/>
    <w:qFormat/>
    <w:rPr>
      <w:rFonts w:cs="Wingdings"/>
    </w:rPr>
  </w:style>
  <w:style w:type="character" w:styleId="ListLabel120">
    <w:name w:val="ListLabel 120"/>
    <w:qFormat/>
    <w:rPr>
      <w:rFonts w:ascii="Bookman Old Style" w:hAnsi="Bookman Old Style" w:cs="Courier New"/>
      <w:b/>
      <w:sz w:val="24"/>
    </w:rPr>
  </w:style>
  <w:style w:type="character" w:styleId="ListLabel121">
    <w:name w:val="ListLabel 121"/>
    <w:qFormat/>
    <w:rPr>
      <w:rFonts w:cs="Courier New"/>
    </w:rPr>
  </w:style>
  <w:style w:type="character" w:styleId="ListLabel122">
    <w:name w:val="ListLabel 122"/>
    <w:qFormat/>
    <w:rPr>
      <w:rFonts w:cs="Wingdings"/>
    </w:rPr>
  </w:style>
  <w:style w:type="character" w:styleId="ListLabel123">
    <w:name w:val="ListLabel 123"/>
    <w:qFormat/>
    <w:rPr>
      <w:rFonts w:cs="Symbol"/>
    </w:rPr>
  </w:style>
  <w:style w:type="character" w:styleId="ListLabel124">
    <w:name w:val="ListLabel 124"/>
    <w:qFormat/>
    <w:rPr>
      <w:rFonts w:cs="Courier New"/>
    </w:rPr>
  </w:style>
  <w:style w:type="character" w:styleId="ListLabel125">
    <w:name w:val="ListLabel 125"/>
    <w:qFormat/>
    <w:rPr>
      <w:rFonts w:cs="Wingdings"/>
    </w:rPr>
  </w:style>
  <w:style w:type="character" w:styleId="ListLabel126">
    <w:name w:val="ListLabel 126"/>
    <w:qFormat/>
    <w:rPr>
      <w:rFonts w:cs="Symbol"/>
    </w:rPr>
  </w:style>
  <w:style w:type="character" w:styleId="ListLabel127">
    <w:name w:val="ListLabel 127"/>
    <w:qFormat/>
    <w:rPr>
      <w:rFonts w:cs="Courier New"/>
    </w:rPr>
  </w:style>
  <w:style w:type="character" w:styleId="ListLabel128">
    <w:name w:val="ListLabel 128"/>
    <w:qFormat/>
    <w:rPr>
      <w:rFonts w:cs="Wingdings"/>
    </w:rPr>
  </w:style>
  <w:style w:type="character" w:styleId="ListLabel129">
    <w:name w:val="ListLabel 129"/>
    <w:qFormat/>
    <w:rPr>
      <w:rFonts w:ascii="Bookman Old Style" w:hAnsi="Bookman Old Style" w:cs="Courier New"/>
      <w:sz w:val="24"/>
    </w:rPr>
  </w:style>
  <w:style w:type="character" w:styleId="ListLabel130">
    <w:name w:val="ListLabel 130"/>
    <w:qFormat/>
    <w:rPr>
      <w:rFonts w:cs="Courier New"/>
    </w:rPr>
  </w:style>
  <w:style w:type="character" w:styleId="ListLabel131">
    <w:name w:val="ListLabel 131"/>
    <w:qFormat/>
    <w:rPr>
      <w:rFonts w:cs="Wingdings"/>
    </w:rPr>
  </w:style>
  <w:style w:type="character" w:styleId="ListLabel132">
    <w:name w:val="ListLabel 132"/>
    <w:qFormat/>
    <w:rPr>
      <w:rFonts w:cs="Symbol"/>
    </w:rPr>
  </w:style>
  <w:style w:type="character" w:styleId="ListLabel133">
    <w:name w:val="ListLabel 133"/>
    <w:qFormat/>
    <w:rPr>
      <w:rFonts w:cs="Courier New"/>
    </w:rPr>
  </w:style>
  <w:style w:type="character" w:styleId="ListLabel134">
    <w:name w:val="ListLabel 134"/>
    <w:qFormat/>
    <w:rPr>
      <w:rFonts w:cs="Wingdings"/>
    </w:rPr>
  </w:style>
  <w:style w:type="character" w:styleId="ListLabel135">
    <w:name w:val="ListLabel 135"/>
    <w:qFormat/>
    <w:rPr>
      <w:rFonts w:cs="Symbol"/>
    </w:rPr>
  </w:style>
  <w:style w:type="character" w:styleId="ListLabel136">
    <w:name w:val="ListLabel 136"/>
    <w:qFormat/>
    <w:rPr>
      <w:rFonts w:cs="Courier New"/>
    </w:rPr>
  </w:style>
  <w:style w:type="character" w:styleId="ListLabel137">
    <w:name w:val="ListLabel 137"/>
    <w:qFormat/>
    <w:rPr>
      <w:rFonts w:cs="Wingdings"/>
    </w:rPr>
  </w:style>
  <w:style w:type="character" w:styleId="ListLabel138">
    <w:name w:val="ListLabel 138"/>
    <w:qFormat/>
    <w:rPr>
      <w:rFonts w:ascii="Bookman Old Style" w:hAnsi="Bookman Old Style" w:cs="Courier New"/>
      <w:b/>
      <w:sz w:val="24"/>
    </w:rPr>
  </w:style>
  <w:style w:type="character" w:styleId="ListLabel139">
    <w:name w:val="ListLabel 139"/>
    <w:qFormat/>
    <w:rPr>
      <w:rFonts w:cs="Courier New"/>
    </w:rPr>
  </w:style>
  <w:style w:type="character" w:styleId="ListLabel140">
    <w:name w:val="ListLabel 140"/>
    <w:qFormat/>
    <w:rPr>
      <w:rFonts w:cs="Wingdings"/>
    </w:rPr>
  </w:style>
  <w:style w:type="character" w:styleId="ListLabel141">
    <w:name w:val="ListLabel 141"/>
    <w:qFormat/>
    <w:rPr>
      <w:rFonts w:cs="Symbol"/>
    </w:rPr>
  </w:style>
  <w:style w:type="character" w:styleId="ListLabel142">
    <w:name w:val="ListLabel 142"/>
    <w:qFormat/>
    <w:rPr>
      <w:rFonts w:cs="Courier New"/>
    </w:rPr>
  </w:style>
  <w:style w:type="character" w:styleId="ListLabel143">
    <w:name w:val="ListLabel 143"/>
    <w:qFormat/>
    <w:rPr>
      <w:rFonts w:cs="Wingdings"/>
    </w:rPr>
  </w:style>
  <w:style w:type="character" w:styleId="ListLabel144">
    <w:name w:val="ListLabel 144"/>
    <w:qFormat/>
    <w:rPr>
      <w:rFonts w:cs="Symbol"/>
    </w:rPr>
  </w:style>
  <w:style w:type="character" w:styleId="ListLabel145">
    <w:name w:val="ListLabel 145"/>
    <w:qFormat/>
    <w:rPr>
      <w:rFonts w:cs="Courier New"/>
    </w:rPr>
  </w:style>
  <w:style w:type="character" w:styleId="ListLabel146">
    <w:name w:val="ListLabel 146"/>
    <w:qFormat/>
    <w:rPr>
      <w:rFonts w:cs="Wingdings"/>
    </w:rPr>
  </w:style>
  <w:style w:type="character" w:styleId="ListLabel147">
    <w:name w:val="ListLabel 147"/>
    <w:qFormat/>
    <w:rPr>
      <w:rFonts w:ascii="Bookman Old Style" w:hAnsi="Bookman Old Style" w:cs="Courier New"/>
      <w:sz w:val="24"/>
    </w:rPr>
  </w:style>
  <w:style w:type="character" w:styleId="ListLabel148">
    <w:name w:val="ListLabel 148"/>
    <w:qFormat/>
    <w:rPr>
      <w:rFonts w:cs="Courier New"/>
    </w:rPr>
  </w:style>
  <w:style w:type="character" w:styleId="ListLabel149">
    <w:name w:val="ListLabel 149"/>
    <w:qFormat/>
    <w:rPr>
      <w:rFonts w:cs="Wingdings"/>
    </w:rPr>
  </w:style>
  <w:style w:type="character" w:styleId="ListLabel150">
    <w:name w:val="ListLabel 150"/>
    <w:qFormat/>
    <w:rPr>
      <w:rFonts w:cs="Symbol"/>
    </w:rPr>
  </w:style>
  <w:style w:type="character" w:styleId="ListLabel151">
    <w:name w:val="ListLabel 151"/>
    <w:qFormat/>
    <w:rPr>
      <w:rFonts w:cs="Courier New"/>
    </w:rPr>
  </w:style>
  <w:style w:type="character" w:styleId="ListLabel152">
    <w:name w:val="ListLabel 152"/>
    <w:qFormat/>
    <w:rPr>
      <w:rFonts w:cs="Wingdings"/>
    </w:rPr>
  </w:style>
  <w:style w:type="character" w:styleId="ListLabel153">
    <w:name w:val="ListLabel 153"/>
    <w:qFormat/>
    <w:rPr>
      <w:rFonts w:cs="Symbol"/>
    </w:rPr>
  </w:style>
  <w:style w:type="character" w:styleId="ListLabel154">
    <w:name w:val="ListLabel 154"/>
    <w:qFormat/>
    <w:rPr>
      <w:rFonts w:cs="Courier New"/>
    </w:rPr>
  </w:style>
  <w:style w:type="character" w:styleId="ListLabel155">
    <w:name w:val="ListLabel 155"/>
    <w:qFormat/>
    <w:rPr>
      <w:rFonts w:cs="Wingdings"/>
    </w:rPr>
  </w:style>
  <w:style w:type="character" w:styleId="ListLabel156">
    <w:name w:val="ListLabel 156"/>
    <w:qFormat/>
    <w:rPr>
      <w:rFonts w:ascii="Bookman Old Style" w:hAnsi="Bookman Old Style" w:cs="Courier New"/>
      <w:b/>
      <w:sz w:val="24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Wingdings"/>
    </w:rPr>
  </w:style>
  <w:style w:type="character" w:styleId="ListLabel159">
    <w:name w:val="ListLabel 159"/>
    <w:qFormat/>
    <w:rPr>
      <w:rFonts w:cs="Symbol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Wingdings"/>
    </w:rPr>
  </w:style>
  <w:style w:type="character" w:styleId="ListLabel162">
    <w:name w:val="ListLabel 162"/>
    <w:qFormat/>
    <w:rPr>
      <w:rFonts w:cs="Symbol"/>
    </w:rPr>
  </w:style>
  <w:style w:type="character" w:styleId="ListLabel163">
    <w:name w:val="ListLabel 163"/>
    <w:qFormat/>
    <w:rPr>
      <w:rFonts w:cs="Courier New"/>
    </w:rPr>
  </w:style>
  <w:style w:type="character" w:styleId="ListLabel164">
    <w:name w:val="ListLabel 164"/>
    <w:qFormat/>
    <w:rPr>
      <w:rFonts w:cs="Wingdings"/>
    </w:rPr>
  </w:style>
  <w:style w:type="character" w:styleId="ListLabel165">
    <w:name w:val="ListLabel 165"/>
    <w:qFormat/>
    <w:rPr>
      <w:rFonts w:ascii="Bookman Old Style" w:hAnsi="Bookman Old Style" w:cs="Courier New"/>
      <w:sz w:val="24"/>
    </w:rPr>
  </w:style>
  <w:style w:type="character" w:styleId="ListLabel166">
    <w:name w:val="ListLabel 166"/>
    <w:qFormat/>
    <w:rPr>
      <w:rFonts w:cs="Courier New"/>
    </w:rPr>
  </w:style>
  <w:style w:type="character" w:styleId="ListLabel167">
    <w:name w:val="ListLabel 167"/>
    <w:qFormat/>
    <w:rPr>
      <w:rFonts w:cs="Wingdings"/>
    </w:rPr>
  </w:style>
  <w:style w:type="character" w:styleId="ListLabel168">
    <w:name w:val="ListLabel 168"/>
    <w:qFormat/>
    <w:rPr>
      <w:rFonts w:cs="Symbol"/>
    </w:rPr>
  </w:style>
  <w:style w:type="character" w:styleId="ListLabel169">
    <w:name w:val="ListLabel 169"/>
    <w:qFormat/>
    <w:rPr>
      <w:rFonts w:cs="Courier New"/>
    </w:rPr>
  </w:style>
  <w:style w:type="character" w:styleId="ListLabel170">
    <w:name w:val="ListLabel 170"/>
    <w:qFormat/>
    <w:rPr>
      <w:rFonts w:cs="Wingdings"/>
    </w:rPr>
  </w:style>
  <w:style w:type="character" w:styleId="ListLabel171">
    <w:name w:val="ListLabel 171"/>
    <w:qFormat/>
    <w:rPr>
      <w:rFonts w:cs="Symbol"/>
    </w:rPr>
  </w:style>
  <w:style w:type="character" w:styleId="ListLabel172">
    <w:name w:val="ListLabel 172"/>
    <w:qFormat/>
    <w:rPr>
      <w:rFonts w:cs="Courier New"/>
    </w:rPr>
  </w:style>
  <w:style w:type="character" w:styleId="ListLabel173">
    <w:name w:val="ListLabel 173"/>
    <w:qFormat/>
    <w:rPr>
      <w:rFonts w:cs="Wingdings"/>
    </w:rPr>
  </w:style>
  <w:style w:type="character" w:styleId="ListLabel174">
    <w:name w:val="ListLabel 174"/>
    <w:qFormat/>
    <w:rPr>
      <w:rFonts w:ascii="Bookman Old Style" w:hAnsi="Bookman Old Style" w:cs="Courier New"/>
      <w:b/>
      <w:sz w:val="24"/>
    </w:rPr>
  </w:style>
  <w:style w:type="character" w:styleId="ListLabel175">
    <w:name w:val="ListLabel 175"/>
    <w:qFormat/>
    <w:rPr>
      <w:rFonts w:cs="Courier New"/>
    </w:rPr>
  </w:style>
  <w:style w:type="character" w:styleId="ListLabel176">
    <w:name w:val="ListLabel 176"/>
    <w:qFormat/>
    <w:rPr>
      <w:rFonts w:cs="Wingdings"/>
    </w:rPr>
  </w:style>
  <w:style w:type="character" w:styleId="ListLabel177">
    <w:name w:val="ListLabel 177"/>
    <w:qFormat/>
    <w:rPr>
      <w:rFonts w:cs="Symbol"/>
    </w:rPr>
  </w:style>
  <w:style w:type="character" w:styleId="ListLabel178">
    <w:name w:val="ListLabel 178"/>
    <w:qFormat/>
    <w:rPr>
      <w:rFonts w:cs="Courier New"/>
    </w:rPr>
  </w:style>
  <w:style w:type="character" w:styleId="ListLabel179">
    <w:name w:val="ListLabel 179"/>
    <w:qFormat/>
    <w:rPr>
      <w:rFonts w:cs="Wingdings"/>
    </w:rPr>
  </w:style>
  <w:style w:type="character" w:styleId="ListLabel180">
    <w:name w:val="ListLabel 180"/>
    <w:qFormat/>
    <w:rPr>
      <w:rFonts w:cs="Symbol"/>
    </w:rPr>
  </w:style>
  <w:style w:type="character" w:styleId="ListLabel181">
    <w:name w:val="ListLabel 181"/>
    <w:qFormat/>
    <w:rPr>
      <w:rFonts w:cs="Courier New"/>
    </w:rPr>
  </w:style>
  <w:style w:type="character" w:styleId="ListLabel182">
    <w:name w:val="ListLabel 182"/>
    <w:qFormat/>
    <w:rPr>
      <w:rFonts w:cs="Wingdings"/>
    </w:rPr>
  </w:style>
  <w:style w:type="character" w:styleId="ListLabel183">
    <w:name w:val="ListLabel 183"/>
    <w:qFormat/>
    <w:rPr>
      <w:rFonts w:ascii="Bookman Old Style" w:hAnsi="Bookman Old Style" w:cs="Courier New"/>
      <w:sz w:val="24"/>
    </w:rPr>
  </w:style>
  <w:style w:type="character" w:styleId="ListLabel184">
    <w:name w:val="ListLabel 184"/>
    <w:qFormat/>
    <w:rPr>
      <w:rFonts w:cs="Courier New"/>
    </w:rPr>
  </w:style>
  <w:style w:type="character" w:styleId="ListLabel185">
    <w:name w:val="ListLabel 185"/>
    <w:qFormat/>
    <w:rPr>
      <w:rFonts w:cs="Wingdings"/>
    </w:rPr>
  </w:style>
  <w:style w:type="character" w:styleId="ListLabel186">
    <w:name w:val="ListLabel 186"/>
    <w:qFormat/>
    <w:rPr>
      <w:rFonts w:cs="Symbol"/>
    </w:rPr>
  </w:style>
  <w:style w:type="character" w:styleId="ListLabel187">
    <w:name w:val="ListLabel 187"/>
    <w:qFormat/>
    <w:rPr>
      <w:rFonts w:cs="Courier New"/>
    </w:rPr>
  </w:style>
  <w:style w:type="character" w:styleId="ListLabel188">
    <w:name w:val="ListLabel 188"/>
    <w:qFormat/>
    <w:rPr>
      <w:rFonts w:cs="Wingdings"/>
    </w:rPr>
  </w:style>
  <w:style w:type="character" w:styleId="ListLabel189">
    <w:name w:val="ListLabel 189"/>
    <w:qFormat/>
    <w:rPr>
      <w:rFonts w:cs="Symbol"/>
    </w:rPr>
  </w:style>
  <w:style w:type="character" w:styleId="ListLabel190">
    <w:name w:val="ListLabel 190"/>
    <w:qFormat/>
    <w:rPr>
      <w:rFonts w:cs="Courier New"/>
    </w:rPr>
  </w:style>
  <w:style w:type="character" w:styleId="ListLabel191">
    <w:name w:val="ListLabel 191"/>
    <w:qFormat/>
    <w:rPr>
      <w:rFonts w:cs="Wingdings"/>
    </w:rPr>
  </w:style>
  <w:style w:type="character" w:styleId="ListLabel192">
    <w:name w:val="ListLabel 192"/>
    <w:qFormat/>
    <w:rPr>
      <w:rFonts w:ascii="Bookman Old Style" w:hAnsi="Bookman Old Style" w:cs="Courier New"/>
      <w:b/>
      <w:sz w:val="24"/>
    </w:rPr>
  </w:style>
  <w:style w:type="character" w:styleId="ListLabel193">
    <w:name w:val="ListLabel 193"/>
    <w:qFormat/>
    <w:rPr>
      <w:rFonts w:cs="Courier New"/>
    </w:rPr>
  </w:style>
  <w:style w:type="character" w:styleId="ListLabel194">
    <w:name w:val="ListLabel 194"/>
    <w:qFormat/>
    <w:rPr>
      <w:rFonts w:cs="Wingdings"/>
    </w:rPr>
  </w:style>
  <w:style w:type="character" w:styleId="ListLabel195">
    <w:name w:val="ListLabel 195"/>
    <w:qFormat/>
    <w:rPr>
      <w:rFonts w:cs="Symbol"/>
    </w:rPr>
  </w:style>
  <w:style w:type="character" w:styleId="ListLabel196">
    <w:name w:val="ListLabel 196"/>
    <w:qFormat/>
    <w:rPr>
      <w:rFonts w:cs="Courier New"/>
    </w:rPr>
  </w:style>
  <w:style w:type="character" w:styleId="ListLabel197">
    <w:name w:val="ListLabel 197"/>
    <w:qFormat/>
    <w:rPr>
      <w:rFonts w:cs="Wingdings"/>
    </w:rPr>
  </w:style>
  <w:style w:type="character" w:styleId="ListLabel198">
    <w:name w:val="ListLabel 198"/>
    <w:qFormat/>
    <w:rPr>
      <w:rFonts w:cs="Symbol"/>
    </w:rPr>
  </w:style>
  <w:style w:type="character" w:styleId="ListLabel199">
    <w:name w:val="ListLabel 199"/>
    <w:qFormat/>
    <w:rPr>
      <w:rFonts w:cs="Courier New"/>
    </w:rPr>
  </w:style>
  <w:style w:type="character" w:styleId="ListLabel200">
    <w:name w:val="ListLabel 200"/>
    <w:qFormat/>
    <w:rPr>
      <w:rFonts w:cs="Wingdings"/>
    </w:rPr>
  </w:style>
  <w:style w:type="character" w:styleId="ListLabel201">
    <w:name w:val="ListLabel 201"/>
    <w:qFormat/>
    <w:rPr>
      <w:rFonts w:ascii="Bookman Old Style" w:hAnsi="Bookman Old Style" w:cs="Courier New"/>
      <w:sz w:val="24"/>
    </w:rPr>
  </w:style>
  <w:style w:type="character" w:styleId="ListLabel202">
    <w:name w:val="ListLabel 202"/>
    <w:qFormat/>
    <w:rPr>
      <w:rFonts w:cs="Courier New"/>
    </w:rPr>
  </w:style>
  <w:style w:type="character" w:styleId="ListLabel203">
    <w:name w:val="ListLabel 203"/>
    <w:qFormat/>
    <w:rPr>
      <w:rFonts w:cs="Wingdings"/>
    </w:rPr>
  </w:style>
  <w:style w:type="character" w:styleId="ListLabel204">
    <w:name w:val="ListLabel 204"/>
    <w:qFormat/>
    <w:rPr>
      <w:rFonts w:cs="Symbol"/>
    </w:rPr>
  </w:style>
  <w:style w:type="character" w:styleId="ListLabel205">
    <w:name w:val="ListLabel 205"/>
    <w:qFormat/>
    <w:rPr>
      <w:rFonts w:cs="Courier New"/>
    </w:rPr>
  </w:style>
  <w:style w:type="character" w:styleId="ListLabel206">
    <w:name w:val="ListLabel 206"/>
    <w:qFormat/>
    <w:rPr>
      <w:rFonts w:cs="Wingdings"/>
    </w:rPr>
  </w:style>
  <w:style w:type="character" w:styleId="ListLabel207">
    <w:name w:val="ListLabel 207"/>
    <w:qFormat/>
    <w:rPr>
      <w:rFonts w:cs="Symbol"/>
    </w:rPr>
  </w:style>
  <w:style w:type="character" w:styleId="ListLabel208">
    <w:name w:val="ListLabel 208"/>
    <w:qFormat/>
    <w:rPr>
      <w:rFonts w:cs="Courier New"/>
    </w:rPr>
  </w:style>
  <w:style w:type="character" w:styleId="ListLabel209">
    <w:name w:val="ListLabel 209"/>
    <w:qFormat/>
    <w:rPr>
      <w:rFonts w:cs="Wingdings"/>
    </w:rPr>
  </w:style>
  <w:style w:type="character" w:styleId="ListLabel210">
    <w:name w:val="ListLabel 210"/>
    <w:qFormat/>
    <w:rPr>
      <w:rFonts w:ascii="Bookman Old Style" w:hAnsi="Bookman Old Style" w:cs="Courier New"/>
      <w:b/>
      <w:sz w:val="24"/>
    </w:rPr>
  </w:style>
  <w:style w:type="character" w:styleId="ListLabel211">
    <w:name w:val="ListLabel 211"/>
    <w:qFormat/>
    <w:rPr>
      <w:rFonts w:cs="Courier New"/>
    </w:rPr>
  </w:style>
  <w:style w:type="character" w:styleId="ListLabel212">
    <w:name w:val="ListLabel 212"/>
    <w:qFormat/>
    <w:rPr>
      <w:rFonts w:cs="Wingdings"/>
    </w:rPr>
  </w:style>
  <w:style w:type="character" w:styleId="ListLabel213">
    <w:name w:val="ListLabel 213"/>
    <w:qFormat/>
    <w:rPr>
      <w:rFonts w:cs="Symbol"/>
    </w:rPr>
  </w:style>
  <w:style w:type="character" w:styleId="ListLabel214">
    <w:name w:val="ListLabel 214"/>
    <w:qFormat/>
    <w:rPr>
      <w:rFonts w:cs="Courier New"/>
    </w:rPr>
  </w:style>
  <w:style w:type="character" w:styleId="ListLabel215">
    <w:name w:val="ListLabel 215"/>
    <w:qFormat/>
    <w:rPr>
      <w:rFonts w:cs="Wingdings"/>
    </w:rPr>
  </w:style>
  <w:style w:type="character" w:styleId="ListLabel216">
    <w:name w:val="ListLabel 216"/>
    <w:qFormat/>
    <w:rPr>
      <w:rFonts w:cs="Symbol"/>
    </w:rPr>
  </w:style>
  <w:style w:type="character" w:styleId="ListLabel217">
    <w:name w:val="ListLabel 217"/>
    <w:qFormat/>
    <w:rPr>
      <w:rFonts w:cs="Courier New"/>
    </w:rPr>
  </w:style>
  <w:style w:type="character" w:styleId="ListLabel218">
    <w:name w:val="ListLabel 218"/>
    <w:qFormat/>
    <w:rPr>
      <w:rFonts w:cs="Wingdings"/>
    </w:rPr>
  </w:style>
  <w:style w:type="character" w:styleId="ListLabel219">
    <w:name w:val="ListLabel 219"/>
    <w:qFormat/>
    <w:rPr>
      <w:rFonts w:ascii="Bookman Old Style" w:hAnsi="Bookman Old Style" w:cs="Courier New"/>
      <w:sz w:val="24"/>
    </w:rPr>
  </w:style>
  <w:style w:type="character" w:styleId="ListLabel220">
    <w:name w:val="ListLabel 220"/>
    <w:qFormat/>
    <w:rPr>
      <w:rFonts w:cs="Courier New"/>
    </w:rPr>
  </w:style>
  <w:style w:type="character" w:styleId="ListLabel221">
    <w:name w:val="ListLabel 221"/>
    <w:qFormat/>
    <w:rPr>
      <w:rFonts w:cs="Wingdings"/>
    </w:rPr>
  </w:style>
  <w:style w:type="character" w:styleId="ListLabel222">
    <w:name w:val="ListLabel 222"/>
    <w:qFormat/>
    <w:rPr>
      <w:rFonts w:cs="Symbol"/>
    </w:rPr>
  </w:style>
  <w:style w:type="character" w:styleId="ListLabel223">
    <w:name w:val="ListLabel 223"/>
    <w:qFormat/>
    <w:rPr>
      <w:rFonts w:cs="Courier New"/>
    </w:rPr>
  </w:style>
  <w:style w:type="character" w:styleId="ListLabel224">
    <w:name w:val="ListLabel 224"/>
    <w:qFormat/>
    <w:rPr>
      <w:rFonts w:cs="Wingdings"/>
    </w:rPr>
  </w:style>
  <w:style w:type="character" w:styleId="ListLabel225">
    <w:name w:val="ListLabel 225"/>
    <w:qFormat/>
    <w:rPr>
      <w:rFonts w:cs="Symbol"/>
    </w:rPr>
  </w:style>
  <w:style w:type="character" w:styleId="ListLabel226">
    <w:name w:val="ListLabel 226"/>
    <w:qFormat/>
    <w:rPr>
      <w:rFonts w:cs="Courier New"/>
    </w:rPr>
  </w:style>
  <w:style w:type="character" w:styleId="ListLabel227">
    <w:name w:val="ListLabel 227"/>
    <w:qFormat/>
    <w:rPr>
      <w:rFonts w:cs="Wingdings"/>
    </w:rPr>
  </w:style>
  <w:style w:type="character" w:styleId="ListLabel228">
    <w:name w:val="ListLabel 228"/>
    <w:qFormat/>
    <w:rPr>
      <w:rFonts w:ascii="Bookman Old Style" w:hAnsi="Bookman Old Style" w:cs="Courier New"/>
      <w:b/>
      <w:sz w:val="24"/>
    </w:rPr>
  </w:style>
  <w:style w:type="character" w:styleId="ListLabel229">
    <w:name w:val="ListLabel 229"/>
    <w:qFormat/>
    <w:rPr>
      <w:rFonts w:cs="Courier New"/>
    </w:rPr>
  </w:style>
  <w:style w:type="character" w:styleId="ListLabel230">
    <w:name w:val="ListLabel 230"/>
    <w:qFormat/>
    <w:rPr>
      <w:rFonts w:cs="Wingdings"/>
    </w:rPr>
  </w:style>
  <w:style w:type="character" w:styleId="ListLabel231">
    <w:name w:val="ListLabel 231"/>
    <w:qFormat/>
    <w:rPr>
      <w:rFonts w:cs="Symbol"/>
    </w:rPr>
  </w:style>
  <w:style w:type="character" w:styleId="ListLabel232">
    <w:name w:val="ListLabel 232"/>
    <w:qFormat/>
    <w:rPr>
      <w:rFonts w:cs="Courier New"/>
    </w:rPr>
  </w:style>
  <w:style w:type="character" w:styleId="ListLabel233">
    <w:name w:val="ListLabel 233"/>
    <w:qFormat/>
    <w:rPr>
      <w:rFonts w:cs="Wingdings"/>
    </w:rPr>
  </w:style>
  <w:style w:type="character" w:styleId="ListLabel234">
    <w:name w:val="ListLabel 234"/>
    <w:qFormat/>
    <w:rPr>
      <w:rFonts w:cs="Symbol"/>
    </w:rPr>
  </w:style>
  <w:style w:type="character" w:styleId="ListLabel235">
    <w:name w:val="ListLabel 235"/>
    <w:qFormat/>
    <w:rPr>
      <w:rFonts w:cs="Courier New"/>
    </w:rPr>
  </w:style>
  <w:style w:type="character" w:styleId="ListLabel236">
    <w:name w:val="ListLabel 236"/>
    <w:qFormat/>
    <w:rPr>
      <w:rFonts w:cs="Wingdings"/>
    </w:rPr>
  </w:style>
  <w:style w:type="character" w:styleId="ListLabel237">
    <w:name w:val="ListLabel 237"/>
    <w:qFormat/>
    <w:rPr>
      <w:rFonts w:ascii="Bookman Old Style" w:hAnsi="Bookman Old Style" w:cs="Courier New"/>
      <w:sz w:val="24"/>
    </w:rPr>
  </w:style>
  <w:style w:type="character" w:styleId="ListLabel238">
    <w:name w:val="ListLabel 238"/>
    <w:qFormat/>
    <w:rPr>
      <w:rFonts w:cs="Courier New"/>
    </w:rPr>
  </w:style>
  <w:style w:type="character" w:styleId="ListLabel239">
    <w:name w:val="ListLabel 239"/>
    <w:qFormat/>
    <w:rPr>
      <w:rFonts w:cs="Wingdings"/>
    </w:rPr>
  </w:style>
  <w:style w:type="character" w:styleId="ListLabel240">
    <w:name w:val="ListLabel 240"/>
    <w:qFormat/>
    <w:rPr>
      <w:rFonts w:cs="Symbol"/>
    </w:rPr>
  </w:style>
  <w:style w:type="character" w:styleId="ListLabel241">
    <w:name w:val="ListLabel 241"/>
    <w:qFormat/>
    <w:rPr>
      <w:rFonts w:cs="Courier New"/>
    </w:rPr>
  </w:style>
  <w:style w:type="character" w:styleId="ListLabel242">
    <w:name w:val="ListLabel 242"/>
    <w:qFormat/>
    <w:rPr>
      <w:rFonts w:cs="Wingdings"/>
    </w:rPr>
  </w:style>
  <w:style w:type="character" w:styleId="ListLabel243">
    <w:name w:val="ListLabel 243"/>
    <w:qFormat/>
    <w:rPr>
      <w:rFonts w:cs="Symbol"/>
    </w:rPr>
  </w:style>
  <w:style w:type="character" w:styleId="ListLabel244">
    <w:name w:val="ListLabel 244"/>
    <w:qFormat/>
    <w:rPr>
      <w:rFonts w:cs="Courier New"/>
    </w:rPr>
  </w:style>
  <w:style w:type="character" w:styleId="ListLabel245">
    <w:name w:val="ListLabel 245"/>
    <w:qFormat/>
    <w:rPr>
      <w:rFonts w:cs="Wingdings"/>
    </w:rPr>
  </w:style>
  <w:style w:type="paragraph" w:styleId="Style17">
    <w:name w:val="Заголовок"/>
    <w:basedOn w:val="Normal"/>
    <w:next w:val="Style18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Ari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Arial"/>
    </w:rPr>
  </w:style>
  <w:style w:type="paragraph" w:styleId="Style22">
    <w:name w:val="Header"/>
    <w:basedOn w:val="Normal"/>
    <w:link w:val="a5"/>
    <w:uiPriority w:val="99"/>
    <w:rsid w:val="004f3d9a"/>
    <w:pPr>
      <w:tabs>
        <w:tab w:val="center" w:pos="4677" w:leader="none"/>
        <w:tab w:val="right" w:pos="9355" w:leader="none"/>
      </w:tabs>
    </w:pPr>
    <w:rPr/>
  </w:style>
  <w:style w:type="paragraph" w:styleId="Style23">
    <w:name w:val="Footer"/>
    <w:basedOn w:val="Normal"/>
    <w:link w:val="a7"/>
    <w:uiPriority w:val="99"/>
    <w:rsid w:val="004f3d9a"/>
    <w:pPr>
      <w:tabs>
        <w:tab w:val="center" w:pos="4677" w:leader="none"/>
        <w:tab w:val="right" w:pos="9355" w:leader="none"/>
      </w:tabs>
    </w:pPr>
    <w:rPr/>
  </w:style>
  <w:style w:type="paragraph" w:styleId="BalloonText">
    <w:name w:val="Balloon Text"/>
    <w:basedOn w:val="Normal"/>
    <w:link w:val="aa"/>
    <w:uiPriority w:val="99"/>
    <w:semiHidden/>
    <w:qFormat/>
    <w:rsid w:val="00df566a"/>
    <w:pPr/>
    <w:rPr>
      <w:rFonts w:ascii="Tahoma" w:hAnsi="Tahoma" w:cs="Tahoma"/>
      <w:sz w:val="16"/>
      <w:szCs w:val="16"/>
    </w:rPr>
  </w:style>
  <w:style w:type="paragraph" w:styleId="Default" w:customStyle="1">
    <w:name w:val="Default"/>
    <w:qFormat/>
    <w:rsid w:val="00024934"/>
    <w:pPr>
      <w:widowControl/>
      <w:bidi w:val="0"/>
      <w:jc w:val="left"/>
    </w:pPr>
    <w:rPr>
      <w:rFonts w:ascii="Times New Roman" w:hAnsi="Times New Roman" w:eastAsia="Calibri" w:cs="Times New Roman"/>
      <w:color w:val="000000"/>
      <w:sz w:val="24"/>
      <w:szCs w:val="24"/>
      <w:lang w:val="ru-RU" w:eastAsia="en-US" w:bidi="ar-SA"/>
    </w:rPr>
  </w:style>
  <w:style w:type="paragraph" w:styleId="Style24">
    <w:name w:val="Содержимое таблицы"/>
    <w:basedOn w:val="Normal"/>
    <w:qFormat/>
    <w:pPr/>
    <w:rPr/>
  </w:style>
  <w:style w:type="paragraph" w:styleId="Style25">
    <w:name w:val="Заголовок таблицы"/>
    <w:basedOn w:val="Style24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99"/>
    <w:rsid w:val="005e0335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admin@admilinskoe.ru" TargetMode="External"/><Relationship Id="rId4" Type="http://schemas.openxmlformats.org/officeDocument/2006/relationships/hyperlink" Target="http://www.admilinskoe.ru/" TargetMode="External"/><Relationship Id="rId5" Type="http://schemas.openxmlformats.org/officeDocument/2006/relationships/hyperlink" Target="consultantplus://offline/ref=11A2010491EB6C7944F562BB797A926F6A11E9FC249DBAA59EDDC80775EDD513BF34FD238D137BA0D66528E36FD08F0B6E92557F18EC359368A6DEL0b9M" TargetMode="External"/><Relationship Id="rId6" Type="http://schemas.openxmlformats.org/officeDocument/2006/relationships/hyperlink" Target="consultantplus://offline/ref=11A2010491EB6C7944F562BB797A926F6A11E9FC2398B6AC9FDDC80775EDD513BF34FD238D137BA0D66528E36FD08F0B6E92557F18EC359368A6DEL0b9M" TargetMode="External"/><Relationship Id="rId7" Type="http://schemas.openxmlformats.org/officeDocument/2006/relationships/hyperlink" Target="consultantplus://offline/ref=11A2010491EB6C7944F562BB797A926F6A11E9FC229BB5AD94DDC80775EDD513BF34FD238D137BA0D66528E36FD08F0B6E92557F18EC359368A6DEL0b9M" TargetMode="External"/><Relationship Id="rId8" Type="http://schemas.openxmlformats.org/officeDocument/2006/relationships/hyperlink" Target="consultantplus://offline/ref=11A2010491EB6C7944F562BB797A926F6A11E9FC229AB6AC90DDC80775EDD513BF34FD238D137BA0D66528E36FD08F0B6E92557F18EC359368A6DEL0b9M" TargetMode="External"/><Relationship Id="rId9" Type="http://schemas.openxmlformats.org/officeDocument/2006/relationships/hyperlink" Target="consultantplus://offline/ref=11A2010491EB6C7944F562BB797A926F6A11E9FC229CB2AA9FDDC80775EDD513BF34FD238D137BA0D66528E36FD08F0B6E92557F18EC359368A6DEL0b9M" TargetMode="External"/><Relationship Id="rId10" Type="http://schemas.openxmlformats.org/officeDocument/2006/relationships/hyperlink" Target="consultantplus://offline/ref=11A2010491EB6C7944F562BB797A926F6A11E9FC229CBAA89FDDC80775EDD513BF34FD238D137BA0D66528E36FD08F0B6E92557F18EC359368A6DEL0b9M" TargetMode="External"/><Relationship Id="rId11" Type="http://schemas.openxmlformats.org/officeDocument/2006/relationships/hyperlink" Target="consultantplus://offline/ref=11A2010491EB6C7944F562BB797A926F6A11E9FC219FB7A896DDC80775EDD513BF34FD238D137BA0D66528E36FD08F0B6E92557F18EC359368A6DEL0b9M" TargetMode="External"/><Relationship Id="rId12" Type="http://schemas.openxmlformats.org/officeDocument/2006/relationships/hyperlink" Target="consultantplus://offline/ref=11A2010491EB6C7944F562BB797A926F6A11E9FC2193B2AB97DDC80775EDD513BF34FD238D137BA0D66528E36FD08F0B6E92557F18EC359368A6DEL0b9M" TargetMode="External"/><Relationship Id="rId13" Type="http://schemas.openxmlformats.org/officeDocument/2006/relationships/hyperlink" Target="consultantplus://offline/ref=11A2010491EB6C7944F562BB797A926F6A11E9FC2098B1AD95DDC80775EDD513BF34FD238D137BA0D66528E36FD08F0B6E92557F18EC359368A6DEL0b9M" TargetMode="External"/><Relationship Id="rId14" Type="http://schemas.openxmlformats.org/officeDocument/2006/relationships/hyperlink" Target="consultantplus://offline/ref=11A2010491EB6C7944F562BB797A926F6A11E9FC2098BAAC91DDC80775EDD513BF34FD238D137BA0D66528E36FD08F0B6E92557F18EC359368A6DEL0b9M" TargetMode="External"/><Relationship Id="rId15" Type="http://schemas.openxmlformats.org/officeDocument/2006/relationships/hyperlink" Target="consultantplus://offline/ref=11A2010491EB6C7944F562BB797A926F6A11E9FC2F9EBAAA95DDC80775EDD513BF34FD238D137BA0D66528E36FD08F0B6E92557F18EC359368A6DEL0b9M" TargetMode="External"/><Relationship Id="rId16" Type="http://schemas.openxmlformats.org/officeDocument/2006/relationships/hyperlink" Target="consultantplus://offline/ref=11A2010491EB6C7944F562BB797A926F6A11E9FC2F92BBAF96DDC80775EDD513BF34FD238D137BA0D66528E36FD08F0B6E92557F18EC359368A6DEL0b9M" TargetMode="External"/><Relationship Id="rId17" Type="http://schemas.openxmlformats.org/officeDocument/2006/relationships/hyperlink" Target="consultantplus://offline/ref=11A2010491EB6C7944F562BB797A926F6A11E9FC2E99B4AF93DDC80775EDD513BF34FD238D137BA0D66528E36FD08F0B6E92557F18EC359368A6DEL0b9M" TargetMode="External"/><Relationship Id="rId18" Type="http://schemas.openxmlformats.org/officeDocument/2006/relationships/hyperlink" Target="consultantplus://offline/ref=11A2010491EB6C7944F562BB797A926F6A11E9FC269AB6AC9FD2950D7DB4D911B83BA2348A5A77A1D66528E6618F8A1E7FCA5A7902F23C8474A4DF01L8bCM" TargetMode="External"/><Relationship Id="rId19" Type="http://schemas.openxmlformats.org/officeDocument/2006/relationships/hyperlink" Target="consultantplus://offline/ref=11A2010491EB6C7944F562BB797A926F6A11E9FC2699B5AD91D0950D7DB4D911B83BA2348A5A77A1D66528E6618F8A1E7FCA5A7902F23C8474A4DF01L8bCM" TargetMode="External"/><Relationship Id="rId20" Type="http://schemas.openxmlformats.org/officeDocument/2006/relationships/hyperlink" Target="consultantplus://offline/ref=11A2010491EB6C7944F571A57A16CE606A1DB6F22599B8FACA82935A22E4DF44F87BA461C91E7AA6D66E7CB720D1D34D3F81577218EE3C8CL6b3M" TargetMode="External"/><Relationship Id="rId21" Type="http://schemas.openxmlformats.org/officeDocument/2006/relationships/hyperlink" Target="consultantplus://offline/ref=3383D7120A41E41A5F68292116C6B9AA766111B33392AF740850482A5D463A294E768DACF5193D79DFB48DaBR7I" TargetMode="External"/><Relationship Id="rId22" Type="http://schemas.openxmlformats.org/officeDocument/2006/relationships/hyperlink" Target="consultantplus://offline/ref=11A2010491EB6C7944F562BB797A926F6A11E9FC249DBAA59EDDC80775EDD513BF34FD238D137BA0D66528E36FD08F0B6E92557F18EC359368A6DEL0b9M" TargetMode="External"/><Relationship Id="rId23" Type="http://schemas.openxmlformats.org/officeDocument/2006/relationships/hyperlink" Target="consultantplus://offline/ref=11A2010491EB6C7944F562BB797A926F6A11E9FC2398B6AC9FDDC80775EDD513BF34FD238D137BA0D66528E36FD08F0B6E92557F18EC359368A6DEL0b9M" TargetMode="External"/><Relationship Id="rId24" Type="http://schemas.openxmlformats.org/officeDocument/2006/relationships/hyperlink" Target="consultantplus://offline/ref=11A2010491EB6C7944F562BB797A926F6A11E9FC229BB5AD94DDC80775EDD513BF34FD238D137BA0D66528E36FD08F0B6E92557F18EC359368A6DEL0b9M" TargetMode="External"/><Relationship Id="rId25" Type="http://schemas.openxmlformats.org/officeDocument/2006/relationships/hyperlink" Target="consultantplus://offline/ref=11A2010491EB6C7944F562BB797A926F6A11E9FC229AB6AC90DDC80775EDD513BF34FD238D137BA0D66528E36FD08F0B6E92557F18EC359368A6DEL0b9M" TargetMode="External"/><Relationship Id="rId26" Type="http://schemas.openxmlformats.org/officeDocument/2006/relationships/hyperlink" Target="consultantplus://offline/ref=11A2010491EB6C7944F562BB797A926F6A11E9FC229CB2AA9FDDC80775EDD513BF34FD238D137BA0D66528E36FD08F0B6E92557F18EC359368A6DEL0b9M" TargetMode="External"/><Relationship Id="rId27" Type="http://schemas.openxmlformats.org/officeDocument/2006/relationships/hyperlink" Target="consultantplus://offline/ref=11A2010491EB6C7944F562BB797A926F6A11E9FC229CBAA89FDDC80775EDD513BF34FD238D137BA0D66528E36FD08F0B6E92557F18EC359368A6DEL0b9M" TargetMode="External"/><Relationship Id="rId28" Type="http://schemas.openxmlformats.org/officeDocument/2006/relationships/hyperlink" Target="consultantplus://offline/ref=11A2010491EB6C7944F562BB797A926F6A11E9FC219FB7A896DDC80775EDD513BF34FD238D137BA0D66528E36FD08F0B6E92557F18EC359368A6DEL0b9M" TargetMode="External"/><Relationship Id="rId29" Type="http://schemas.openxmlformats.org/officeDocument/2006/relationships/hyperlink" Target="consultantplus://offline/ref=11A2010491EB6C7944F562BB797A926F6A11E9FC2193B2AB97DDC80775EDD513BF34FD238D137BA0D66528E36FD08F0B6E92557F18EC359368A6DEL0b9M" TargetMode="External"/><Relationship Id="rId30" Type="http://schemas.openxmlformats.org/officeDocument/2006/relationships/hyperlink" Target="consultantplus://offline/ref=11A2010491EB6C7944F562BB797A926F6A11E9FC2098B1AD95DDC80775EDD513BF34FD238D137BA0D66528E36FD08F0B6E92557F18EC359368A6DEL0b9M" TargetMode="External"/><Relationship Id="rId31" Type="http://schemas.openxmlformats.org/officeDocument/2006/relationships/hyperlink" Target="consultantplus://offline/ref=11A2010491EB6C7944F562BB797A926F6A11E9FC2098BAAC91DDC80775EDD513BF34FD238D137BA0D66528E36FD08F0B6E92557F18EC359368A6DEL0b9M" TargetMode="External"/><Relationship Id="rId32" Type="http://schemas.openxmlformats.org/officeDocument/2006/relationships/hyperlink" Target="consultantplus://offline/ref=11A2010491EB6C7944F562BB797A926F6A11E9FC2F9EBAAA95DDC80775EDD513BF34FD238D137BA0D66528E36FD08F0B6E92557F18EC359368A6DEL0b9M" TargetMode="External"/><Relationship Id="rId33" Type="http://schemas.openxmlformats.org/officeDocument/2006/relationships/hyperlink" Target="consultantplus://offline/ref=11A2010491EB6C7944F562BB797A926F6A11E9FC2F92BBAF96DDC80775EDD513BF34FD238D137BA0D66528E36FD08F0B6E92557F18EC359368A6DEL0b9M" TargetMode="External"/><Relationship Id="rId34" Type="http://schemas.openxmlformats.org/officeDocument/2006/relationships/hyperlink" Target="consultantplus://offline/ref=11A2010491EB6C7944F562BB797A926F6A11E9FC2E99B4AF93DDC80775EDD513BF34FD238D137BA0D66528E36FD08F0B6E92557F18EC359368A6DEL0b9M" TargetMode="External"/><Relationship Id="rId35" Type="http://schemas.openxmlformats.org/officeDocument/2006/relationships/hyperlink" Target="consultantplus://offline/ref=11A2010491EB6C7944F562BB797A926F6A11E9FC269AB6AC9FD2950D7DB4D911B83BA2348A5A77A1D66528E6618F8A1E7FCA5A7902F23C8474A4DF01L8bCM" TargetMode="External"/><Relationship Id="rId36" Type="http://schemas.openxmlformats.org/officeDocument/2006/relationships/hyperlink" Target="consultantplus://offline/ref=11A2010491EB6C7944F562BB797A926F6A11E9FC2699B5AD91D0950D7DB4D911B83BA2348A5A77A1D66528E6618F8A1E7FCA5A7902F23C8474A4DF01L8bCM" TargetMode="External"/><Relationship Id="rId37" Type="http://schemas.openxmlformats.org/officeDocument/2006/relationships/hyperlink" Target="consultantplus://offline/ref=11A2010491EB6C7944F571A57A16CE606A1DB6F22599B8FACA82935A22E4DF44F87BA461C91E7AA6D66E7CB720D1D34D3F81577218EE3C8CL6b3M" TargetMode="External"/><Relationship Id="rId38" Type="http://schemas.openxmlformats.org/officeDocument/2006/relationships/hyperlink" Target="consultantplus://offline/ref=3383D7120A41E41A5F68292116C6B9AA766111B33392AF740850482A5D463A294E768DACF5193D79DFB48DaBR7I" TargetMode="External"/><Relationship Id="rId39" Type="http://schemas.openxmlformats.org/officeDocument/2006/relationships/footer" Target="footer1.xml"/><Relationship Id="rId40" Type="http://schemas.openxmlformats.org/officeDocument/2006/relationships/image" Target="media/image2.jpeg"/><Relationship Id="rId41" Type="http://schemas.openxmlformats.org/officeDocument/2006/relationships/footer" Target="footer2.xml"/><Relationship Id="rId42" Type="http://schemas.openxmlformats.org/officeDocument/2006/relationships/image" Target="media/image3.jpeg"/><Relationship Id="rId43" Type="http://schemas.openxmlformats.org/officeDocument/2006/relationships/footer" Target="footer3.xml"/><Relationship Id="rId44" Type="http://schemas.openxmlformats.org/officeDocument/2006/relationships/image" Target="media/image4.jpeg"/><Relationship Id="rId45" Type="http://schemas.openxmlformats.org/officeDocument/2006/relationships/footer" Target="footer4.xml"/><Relationship Id="rId46" Type="http://schemas.openxmlformats.org/officeDocument/2006/relationships/image" Target="media/image5.png"/><Relationship Id="rId47" Type="http://schemas.openxmlformats.org/officeDocument/2006/relationships/footer" Target="footer5.xml"/><Relationship Id="rId48" Type="http://schemas.openxmlformats.org/officeDocument/2006/relationships/image" Target="media/image6.jpeg"/><Relationship Id="rId49" Type="http://schemas.openxmlformats.org/officeDocument/2006/relationships/image" Target="media/image7.jpeg"/><Relationship Id="rId50" Type="http://schemas.openxmlformats.org/officeDocument/2006/relationships/image" Target="media/image8.jpeg"/><Relationship Id="rId51" Type="http://schemas.openxmlformats.org/officeDocument/2006/relationships/image" Target="media/image9.jpeg"/><Relationship Id="rId52" Type="http://schemas.openxmlformats.org/officeDocument/2006/relationships/image" Target="media/image10.jpeg"/><Relationship Id="rId53" Type="http://schemas.openxmlformats.org/officeDocument/2006/relationships/image" Target="media/image11.jpeg"/><Relationship Id="rId54" Type="http://schemas.openxmlformats.org/officeDocument/2006/relationships/image" Target="media/image12.jpeg"/><Relationship Id="rId55" Type="http://schemas.openxmlformats.org/officeDocument/2006/relationships/footer" Target="footer6.xml"/><Relationship Id="rId56" Type="http://schemas.openxmlformats.org/officeDocument/2006/relationships/image" Target="media/image13.png"/><Relationship Id="rId57" Type="http://schemas.openxmlformats.org/officeDocument/2006/relationships/image" Target="media/image14.png"/><Relationship Id="rId58" Type="http://schemas.openxmlformats.org/officeDocument/2006/relationships/image" Target="media/image15.jpeg"/><Relationship Id="rId59" Type="http://schemas.openxmlformats.org/officeDocument/2006/relationships/image" Target="media/image16.jpeg"/><Relationship Id="rId60" Type="http://schemas.openxmlformats.org/officeDocument/2006/relationships/image" Target="media/image17.jpeg"/><Relationship Id="rId61" Type="http://schemas.openxmlformats.org/officeDocument/2006/relationships/image" Target="media/image18.jpeg"/><Relationship Id="rId62" Type="http://schemas.openxmlformats.org/officeDocument/2006/relationships/footer" Target="footer7.xml"/><Relationship Id="rId63" Type="http://schemas.openxmlformats.org/officeDocument/2006/relationships/numbering" Target="numbering.xml"/><Relationship Id="rId64" Type="http://schemas.openxmlformats.org/officeDocument/2006/relationships/fontTable" Target="fontTable.xml"/><Relationship Id="rId65" Type="http://schemas.openxmlformats.org/officeDocument/2006/relationships/settings" Target="settings.xml"/><Relationship Id="rId66" Type="http://schemas.openxmlformats.org/officeDocument/2006/relationships/theme" Target="theme/theme1.xml"/><Relationship Id="rId6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9F6E5B-F840-46EA-A8F4-459ABF47FC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2383</TotalTime>
  <Application>LibreOffice/5.2.3.3$Windows_X86_64 LibreOffice_project/d54a8868f08a7b39642414cf2c8ef2f228f780cf</Application>
  <Pages>34</Pages>
  <Words>4844</Words>
  <Characters>35861</Characters>
  <CharactersWithSpaces>40713</CharactersWithSpaces>
  <Paragraphs>742</Paragraphs>
  <Company>.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2014-02-04T07:35:00Z</dcterms:created>
  <dc:creator>.</dc:creator>
  <dc:description/>
  <dc:language>ru-RU</dc:language>
  <cp:lastModifiedBy/>
  <cp:lastPrinted>2019-09-24T15:00:19Z</cp:lastPrinted>
  <dcterms:modified xsi:type="dcterms:W3CDTF">2020-02-12T09:18:54Z</dcterms:modified>
  <cp:revision>101</cp:revision>
  <dc:subject/>
  <dc:title>ИНВЕСТИЦИОННЫЙ ПАСПОРТ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.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