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28.10.2022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года  № 300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Ильинское-Хованское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6"/>
          <w:sz w:val="28"/>
        </w:rPr>
      </w:pPr>
      <w:r>
        <w:rPr>
          <w:rFonts w:ascii="Times New Roman" w:hAnsi="Times New Roman"/>
          <w:b/>
          <w:spacing w:val="-6"/>
          <w:sz w:val="28"/>
        </w:rPr>
        <w:t>О внесении изменения в постановление администрации Ильинского муниципального района от 03.11.2016 №286 «Об утверждении муниципальной программы «Развитие газификации Ильинского муниципального района»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pacing w:val="2"/>
          <w:sz w:val="16"/>
        </w:rPr>
      </w:pPr>
      <w:r>
        <w:rPr>
          <w:rFonts w:ascii="Times New Roman" w:hAnsi="Times New Roman"/>
          <w:spacing w:val="2"/>
          <w:sz w:val="28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объемов финансирования мероприятий муниципальной программы «Развитие газификации Ильинского муниципального района», администрация Ильинского муниципального района </w:t>
      </w:r>
      <w:r>
        <w:rPr>
          <w:rFonts w:ascii="Times New Roman" w:hAnsi="Times New Roman"/>
          <w:b/>
          <w:spacing w:val="2"/>
          <w:sz w:val="28"/>
        </w:rPr>
        <w:t>п о с т а н о в л я е т: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постановление администрации Ильинского муниципального района от 03.11.2016 №286 «Об утверждении муниципальной программы «Развитие газификации Ильинского муниципального района» следующее изменение: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постановлению изложить в новой редакции (прилагается).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426" w:right="0" w:hanging="36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Опубликовать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2">
        <w:r>
          <w:rPr>
            <w:rFonts w:ascii="Times New Roman" w:hAnsi="Times New Roman"/>
            <w:spacing w:val="2"/>
            <w:sz w:val="28"/>
          </w:rPr>
          <w:t>www.admilinskoe.ru</w:t>
        </w:r>
      </w:hyperlink>
      <w:r>
        <w:rPr>
          <w:rFonts w:ascii="Times New Roman" w:hAnsi="Times New Roman"/>
          <w:spacing w:val="2"/>
          <w:sz w:val="28"/>
        </w:rPr>
        <w:t xml:space="preserve"> в информационно-телекоммуникационной сети «Интернет».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426" w:right="0" w:hanging="36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Контроль за выполнением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Заместитель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Ильинского муниципального района:</w:t>
        <w:tab/>
        <w:tab/>
        <w:t xml:space="preserve">          </w:t>
        <w:tab/>
        <w:t xml:space="preserve">                С.М. Ефремов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br w:type="page"/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Приложение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к  Постановлению  администрации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Ильинского муниципального района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pacing w:val="10"/>
          <w:sz w:val="16"/>
        </w:rPr>
      </w:pPr>
      <w:r>
        <w:rPr>
          <w:rFonts w:ascii="Times New Roman" w:hAnsi="Times New Roman"/>
          <w:b w:val="false"/>
          <w:spacing w:val="10"/>
          <w:sz w:val="16"/>
        </w:rPr>
        <w:t>от28.10.2022 года № 300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  <w:u w:val="single"/>
        </w:rPr>
      </w:pPr>
      <w:r>
        <w:rPr>
          <w:rFonts w:ascii="Times New Roman" w:hAnsi="Times New Roman"/>
          <w:b w:val="false"/>
          <w:sz w:val="16"/>
          <w:u w:val="single"/>
        </w:rPr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Приложение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к  Постановлению  администрации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Ильинского муниципального района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pacing w:val="10"/>
          <w:sz w:val="16"/>
        </w:rPr>
      </w:pPr>
      <w:r>
        <w:rPr>
          <w:rFonts w:ascii="Times New Roman" w:hAnsi="Times New Roman"/>
          <w:b w:val="false"/>
          <w:spacing w:val="10"/>
          <w:sz w:val="16"/>
        </w:rPr>
        <w:t>от 03.11.2016 года   № 286</w:t>
      </w:r>
    </w:p>
    <w:p>
      <w:pPr>
        <w:pStyle w:val="ConsPlusTitle1"/>
        <w:widowControl/>
        <w:jc w:val="center"/>
        <w:rPr>
          <w:rFonts w:ascii="Times New Roman" w:hAnsi="Times New Roman"/>
          <w:b w:val="false"/>
          <w:b w:val="false"/>
          <w:sz w:val="16"/>
          <w:u w:val="single"/>
        </w:rPr>
      </w:pPr>
      <w:r>
        <w:rPr>
          <w:rFonts w:ascii="Times New Roman" w:hAnsi="Times New Roman"/>
          <w:b w:val="false"/>
          <w:sz w:val="16"/>
          <w:u w:val="single"/>
        </w:rPr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газификации Ильинского муниципального района на 2019 - 202</w:t>
      </w:r>
      <w:r>
        <w:rPr>
          <w:rFonts w:ascii="Times New Roman" w:hAnsi="Times New Roman"/>
          <w:b/>
          <w:color w:val="000000"/>
          <w:sz w:val="24"/>
        </w:rPr>
        <w:t>4</w:t>
      </w:r>
      <w:r>
        <w:rPr>
          <w:rFonts w:ascii="Times New Roman" w:hAnsi="Times New Roman"/>
          <w:sz w:val="24"/>
        </w:rPr>
        <w:t xml:space="preserve"> годы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1. Паспорт муниципальной программы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развитию газификации Ильинского муниципального района на 2019 — 202</w:t>
      </w:r>
      <w:r>
        <w:rPr>
          <w:rFonts w:ascii="Times New Roman" w:hAnsi="Times New Roman"/>
          <w:b/>
          <w:color w:val="000000"/>
          <w:sz w:val="24"/>
        </w:rPr>
        <w:t xml:space="preserve">4 </w:t>
      </w:r>
      <w:r>
        <w:rPr>
          <w:rFonts w:ascii="Times New Roman" w:hAnsi="Times New Roman"/>
          <w:sz w:val="24"/>
        </w:rPr>
        <w:t>годы</w:t>
      </w:r>
    </w:p>
    <w:p>
      <w:pPr>
        <w:pStyle w:val="ConsPlusTitle1"/>
        <w:widowControl/>
        <w:jc w:val="center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tbl>
      <w:tblPr>
        <w:tblStyle w:val="Style_4"/>
        <w:tblW w:w="935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3"/>
        <w:gridCol w:w="6250"/>
      </w:tblGrid>
      <w:tr>
        <w:trPr>
          <w:trHeight w:val="600" w:hRule="atLeast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Title1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Развитие газификации Ильинского муниципального района на 2019 - 202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 w:val="false"/>
                <w:sz w:val="24"/>
              </w:rPr>
              <w:t xml:space="preserve"> годы</w:t>
            </w:r>
          </w:p>
        </w:tc>
      </w:tr>
      <w:tr>
        <w:trPr>
          <w:trHeight w:val="240" w:hRule="atLeast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программы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2019 - 202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>
        <w:trPr>
          <w:trHeight w:val="270" w:hRule="atLeast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Администратор программы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val="600" w:hRule="atLeast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Исполнительные органы, реализующие программы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val="480" w:hRule="atLeast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программы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газификации Ильинского муниципального района Ивановской области</w:t>
            </w:r>
          </w:p>
        </w:tc>
      </w:tr>
      <w:tr>
        <w:trPr>
          <w:trHeight w:val="1906" w:hRule="atLeast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индикаторы и ожидаемые результаты реализации программы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Результатом реализации программы будет прирост уровня газификации сельских населенных пунктов.</w:t>
            </w:r>
          </w:p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Будут построены и введены в действие следующие объекты:</w:t>
            </w:r>
          </w:p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 распределительных газопровода  протяженностью порядка 7,3 км;</w:t>
            </w:r>
          </w:p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порядка 137 домовладения в 6 сельских населенных пунктах;</w:t>
            </w:r>
          </w:p>
        </w:tc>
      </w:tr>
      <w:tr>
        <w:trPr>
          <w:trHeight w:val="1080" w:hRule="atLeast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программы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1. Анализ степени обеспеченности населения природным газом.</w:t>
            </w:r>
          </w:p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2. Подключение объектов социальной сферы к природному газу.</w:t>
            </w:r>
          </w:p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3. Повышение уровня газификации природным газом сельских населенных пунктов.</w:t>
            </w:r>
          </w:p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4. Обеспечение разработки проектно-сметной документации на объекты газификации.</w:t>
            </w:r>
          </w:p>
        </w:tc>
      </w:tr>
      <w:tr>
        <w:trPr>
          <w:trHeight w:val="500" w:hRule="atLeast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программы (по годам реализации)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Общая сумма расходов на реализацию программы </w:t>
            </w:r>
            <w:r>
              <w:rPr>
                <w:rFonts w:ascii="Times New Roman" w:hAnsi="Times New Roman"/>
                <w:b/>
                <w:sz w:val="24"/>
              </w:rPr>
              <w:t>на 2019 – 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годы 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45436519,5</w:t>
            </w:r>
            <w:r>
              <w:rPr>
                <w:rFonts w:ascii="Times New Roman" w:hAnsi="Times New Roman"/>
                <w:b/>
                <w:sz w:val="24"/>
              </w:rPr>
              <w:t xml:space="preserve"> рублей, </w:t>
            </w:r>
            <w:r>
              <w:rPr>
                <w:rFonts w:ascii="Times New Roman" w:hAnsi="Times New Roman"/>
                <w:sz w:val="24"/>
              </w:rPr>
              <w:t>в том числе средства:</w:t>
            </w:r>
          </w:p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 год – 5198932,93 рублей, в т.ч.:</w:t>
            </w:r>
          </w:p>
          <w:p>
            <w:pPr>
              <w:pStyle w:val="ConsPlusNormal1"/>
              <w:widowControl w:val="false"/>
              <w:ind w:left="72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обл. бюдж. – 5146943,61 рублей</w:t>
            </w:r>
          </w:p>
          <w:p>
            <w:pPr>
              <w:pStyle w:val="ConsPlusNormal1"/>
              <w:widowControl w:val="false"/>
              <w:tabs>
                <w:tab w:val="clear" w:pos="708"/>
                <w:tab w:val="left" w:pos="1530" w:leader="none"/>
              </w:tabs>
              <w:ind w:left="72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мест. бюдж. – 51989,32 рублей</w:t>
            </w:r>
          </w:p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2020 год – 15576644,69 рублей, в т.ч.:</w:t>
            </w:r>
          </w:p>
          <w:p>
            <w:pPr>
              <w:pStyle w:val="ConsPlusNormal1"/>
              <w:widowControl w:val="false"/>
              <w:ind w:left="72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обл. бюдж. – 15298863,33 рублей</w:t>
            </w:r>
          </w:p>
          <w:p>
            <w:pPr>
              <w:pStyle w:val="ConsPlusNormal1"/>
              <w:widowControl w:val="false"/>
              <w:tabs>
                <w:tab w:val="clear" w:pos="708"/>
                <w:tab w:val="left" w:pos="1530" w:leader="none"/>
              </w:tabs>
              <w:ind w:left="72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мест. бюдж. – 277781,36 рублей</w:t>
            </w:r>
          </w:p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2021 год –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8175941,88</w:t>
            </w:r>
            <w:r>
              <w:rPr>
                <w:rFonts w:ascii="Times New Roman" w:hAnsi="Times New Roman"/>
                <w:b/>
                <w:sz w:val="24"/>
              </w:rPr>
              <w:t xml:space="preserve"> рублей, в т.ч.:</w:t>
            </w:r>
          </w:p>
          <w:p>
            <w:pPr>
              <w:pStyle w:val="ConsPlusNormal1"/>
              <w:widowControl w:val="false"/>
              <w:ind w:left="720" w:right="0" w:hanging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 xml:space="preserve">обл. бюдж. –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7664088,92 </w:t>
            </w:r>
            <w:r>
              <w:rPr>
                <w:rFonts w:ascii="Times New Roman" w:hAnsi="Times New Roman"/>
                <w:b/>
                <w:sz w:val="24"/>
              </w:rPr>
              <w:t>рублей</w:t>
            </w:r>
          </w:p>
          <w:p>
            <w:pPr>
              <w:pStyle w:val="ConsPlusNormal1"/>
              <w:widowControl w:val="false"/>
              <w:ind w:left="720" w:right="0" w:hanging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 xml:space="preserve">мест. бюдж. –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511852,96</w:t>
            </w:r>
            <w:r>
              <w:rPr>
                <w:rFonts w:ascii="Times New Roman" w:hAnsi="Times New Roman"/>
                <w:b/>
                <w:sz w:val="24"/>
              </w:rPr>
              <w:t xml:space="preserve"> рублей</w:t>
            </w:r>
          </w:p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2022 год –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0,00 рублей,</w:t>
            </w:r>
            <w:r>
              <w:rPr>
                <w:rFonts w:ascii="Times New Roman" w:hAnsi="Times New Roman"/>
                <w:b/>
                <w:sz w:val="24"/>
              </w:rPr>
              <w:t xml:space="preserve"> в т.ч.:</w:t>
            </w:r>
          </w:p>
          <w:p>
            <w:pPr>
              <w:pStyle w:val="ConsPlusNormal1"/>
              <w:widowControl w:val="false"/>
              <w:numPr>
                <w:ilvl w:val="0"/>
                <w:numId w:val="0"/>
              </w:numPr>
              <w:ind w:left="144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 xml:space="preserve">обл. бюдж. –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0,00</w:t>
            </w:r>
            <w:r>
              <w:rPr>
                <w:rFonts w:ascii="Times New Roman" w:hAnsi="Times New Roman"/>
                <w:b/>
                <w:sz w:val="24"/>
              </w:rPr>
              <w:t xml:space="preserve"> рублей</w:t>
            </w:r>
          </w:p>
          <w:p>
            <w:pPr>
              <w:pStyle w:val="ConsPlusNormal1"/>
              <w:widowControl w:val="false"/>
              <w:numPr>
                <w:ilvl w:val="0"/>
                <w:numId w:val="0"/>
              </w:numPr>
              <w:ind w:left="144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мест. бюдж. – 0,00 рублей</w:t>
            </w:r>
          </w:p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2023 год – 16485000,00 </w:t>
            </w:r>
            <w:r>
              <w:rPr>
                <w:rFonts w:ascii="Times New Roman" w:hAnsi="Times New Roman"/>
                <w:b/>
                <w:sz w:val="24"/>
              </w:rPr>
              <w:t>рублей, в т.ч.:</w:t>
            </w:r>
          </w:p>
          <w:p>
            <w:pPr>
              <w:pStyle w:val="ConsPlusNormal1"/>
              <w:widowControl w:val="false"/>
              <w:ind w:left="72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обл. бюдж. – 15660750,00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рублей</w:t>
            </w:r>
          </w:p>
          <w:p>
            <w:pPr>
              <w:pStyle w:val="ConsPlusNormal1"/>
              <w:widowControl w:val="false"/>
              <w:ind w:left="72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мест. бюдж. – 824250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,00</w:t>
            </w:r>
            <w:r>
              <w:rPr>
                <w:rFonts w:ascii="Times New Roman" w:hAnsi="Times New Roman"/>
                <w:b/>
                <w:sz w:val="24"/>
              </w:rPr>
              <w:t xml:space="preserve"> рублей</w:t>
            </w:r>
          </w:p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год –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0,00 рублей.</w:t>
            </w:r>
          </w:p>
        </w:tc>
      </w:tr>
    </w:tbl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2. Социально-экономическая проблема Ильинского муниципального района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2.1. Социально-экономическая проблема, на решение которой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направлена программа, и прогноз развития ситуации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анализа обеспеченности природным газом населения Ильинского муниципального района Ивановской области выявлена основная социально-экономическая проблема – низкий уровень газификации сельских населенных пунктов района природным газом, значение которого ниже средних показателей по Ивановской области.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Средний уровень газификации по Ильинскому муниципальному району составляет порядка 60%, в то же время уровень газификации в сельской местности составляет лишь около 40%.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Еще остались населенные пункты на территории Ильинского муниципального района, в которых для теплоснабжения объектов социальной сферы в качестве топлива используются менее экономичные, экологически чистые и удобные виды топлива.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необходимость разработки программы по развитию газификации Ильинского муниципального района на 2021 – 202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sz w:val="24"/>
        </w:rPr>
        <w:t xml:space="preserve"> годы обусловлена: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социально-экономической и политической остротой проблемы;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необходимостью улучшения качества жизни населения Ильинского муниципального района посредством повышения уровня газификации сельских населенных пунктов природным газом;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2.2. Опыт решения социально-экономической проблемы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в предыдущие годы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разработана в соответствии с подпрограммой «Развитие газификации Ивановской области» государственной программы Ивановской области «Обеспечение доступным и комфортным жильем населения Ивановской области», утвержденной постановлением Правительства Ивановской области от 06.12.2017 №460-п.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 с 2006 по 2013 год для Ильинского муниципального района одним из приоритетных направлений была газификация района. Принцип софинансирования целевой программы за счет бюджетов различных уровней и внебюджетных источников обеспечил оптимальную результативность по этим направлениям.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газификации регионов Российской Федерации (Ивановская область) в период с 2006 по 2013 год было освоено более 130 млн. руб. и введено в эксплуатацию около 50 км межпоселковых газопроводов, более 60 км уличных сетей, газифицировано порядка 1200 домовладений, построено или переведено на газ 17 котельных социальной сферы, в т.ч.: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- 2006 год: в с. Гари – 5,73 км уличных сетей, 113 домовладений, 2 котельные социальной сферы;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- 2007 год: в с. Кулачево – 4,06 км уличных сетей, 59 домовладений, 3 котельных социальной сферы;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- 2008 год: в д. Щенниково – 8,10 км уличных сетей, 169 домовладений, 4 котельных социальной сферы;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- 2008 год: в с. Аньково – 31,83 км уличных сетей, 542 домовладений, 6 котельных социальной сферы, 3 котельных частной формы собственности (ООО «Аньковская ПМК», ОАО «Аньковское» и ПЧ-53 с. Аньково);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- 2013 год: в с. Ивашево – 13,223 км уличных сетей, 201 домовладения, 2 котельных социальной сферы.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-2020 год: в с. Нажерово, д. Астафьво,д. Счастливка – 5,054 км уличных сетей, 107 домовладений, 2 котельные социльной сферы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-2021 год: в д. Зайково, д. Денисово Малое, д. Кузяево – 2,3868 км уличных сетей,30 домовладений</w:t>
      </w:r>
    </w:p>
    <w:p>
      <w:pPr>
        <w:pStyle w:val="ConsPlusNormal1"/>
        <w:widowControl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уровень газификации района за последние годы вырос почти на 30%.</w:t>
      </w:r>
    </w:p>
    <w:p>
      <w:pPr>
        <w:pStyle w:val="ConsPlusNormal1"/>
        <w:widowControl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Цель, целевые индикаторы и ожидаемые результаты реализации программы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3.1. Цель программы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программы является развитие газификации Ильинского муниципального района Ивановской области.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3.2. Целевые индикаторы и ожидаемые результаты реализации программы</w:t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right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Style w:val="Style_4"/>
        <w:tblW w:w="928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4"/>
        <w:gridCol w:w="3735"/>
        <w:gridCol w:w="843"/>
        <w:gridCol w:w="847"/>
        <w:gridCol w:w="842"/>
        <w:gridCol w:w="846"/>
        <w:gridCol w:w="844"/>
        <w:gridCol w:w="843"/>
      </w:tblGrid>
      <w:tr>
        <w:trPr>
          <w:trHeight w:val="360" w:hRule="atLeast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 п/п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</w:tc>
      </w:tr>
      <w:tr>
        <w:trPr>
          <w:trHeight w:val="203" w:hRule="atLeast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документации, (ПСД)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распределительных газопроводов, (км)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5,054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2,3868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val="65" w:hRule="atLeast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Перевод на природный газ котельных социальной сферы, (шт.)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val="65" w:hRule="atLeast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Газификация домовладений,</w:t>
            </w:r>
          </w:p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(шт.)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>
      <w:pPr>
        <w:pStyle w:val="ConsPlusNormal1"/>
        <w:widowControl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газификации сельских населенных пунктов позволит повысить качество жизни населения Ильинского муниципального района.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Задачи, мероприятия и ресурсное обеспечение  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4.1. Задачи  программы</w:t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right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tbl>
      <w:tblPr>
        <w:tblStyle w:val="Style_4"/>
        <w:tblW w:w="928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2"/>
        <w:gridCol w:w="6080"/>
        <w:gridCol w:w="2672"/>
      </w:tblGrid>
      <w:tr>
        <w:trPr>
          <w:trHeight w:val="360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 п/п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Задача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Год, к которому задача должна быть решена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2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степени обеспеченности населения природным газом.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2019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разработки проектно-сметной документации на объекты газификации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Подключение объектов социальной сферы к природному газу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Увеличение обеспеченности населения объектами коммунальной инфраструктуры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4.2. Мероприятия  программы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right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Style w:val="Style_4"/>
        <w:tblW w:w="142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3215"/>
        <w:gridCol w:w="1654"/>
        <w:gridCol w:w="1766"/>
        <w:gridCol w:w="1169"/>
        <w:gridCol w:w="1077"/>
        <w:gridCol w:w="1182"/>
        <w:gridCol w:w="1685"/>
        <w:gridCol w:w="2004"/>
      </w:tblGrid>
      <w:tr>
        <w:trPr/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исполнения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(годы)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за счет средств,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выполнение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</w:tr>
      <w:tr>
        <w:trPr/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обл.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бюджет поселен.</w:t>
            </w:r>
          </w:p>
        </w:tc>
        <w:tc>
          <w:tcPr>
            <w:tcW w:w="1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/>
        <w:tc>
          <w:tcPr>
            <w:tcW w:w="14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Проектная документация</w:t>
            </w:r>
          </w:p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с. Нажерово, д. Астафьево, д. Счастливка для газификации жилья и объектов социальной сферы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4203983,44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4161943,61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42039,83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4203983,44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4161943,61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42039,83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д. Зайково, д. Денисово Малое, д. Кузяево для газификации жилья и объектов социальной сферы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2019-2020 г.г.,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1485000,00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994949,49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985000,00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9949,49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505050,51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500000,00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5050,51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д. Колчигино для газификации жилья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1662500,00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87</w:t>
            </w:r>
            <w:r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1750000,00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1662500,00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87500,00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д. Ширяево для газификации жилья</w:t>
            </w:r>
          </w:p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2565000,00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2700000,00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2565000,00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135000,00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с. Назорное для газификации жилья</w:t>
            </w:r>
          </w:p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3600000,00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3420000,00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180000,00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3600000,00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3420</w:t>
            </w:r>
            <w:r>
              <w:rPr>
                <w:rFonts w:ascii="Times New Roman" w:hAnsi="Times New Roman"/>
                <w:b/>
                <w:color w:val="000000"/>
              </w:rPr>
              <w:t>000,00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180000,00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Разработка проектной документации на распределительный газопровод по д. Хлебницы и п. Погост Дмитрия Солунского для газификации жилья и объектов социальной сферы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4315000,00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4099250,00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215750,00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4315000,00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4099250,00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215750,00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д. Коварчино для газификации жилья и объектов социальной сферы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3914000,00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206000,00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4120000,00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3914000,00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206000,00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д. Сениха для газификации жилья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д. Рожново для газификации жилья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с. Игрищи и д. Константиново для газификации жилья и объектов социальной сферы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1453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д. Полянки для газификации жилья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1772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2"/>
                <w:sz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Разработка проектной документации на распределительный газопровод по д. Антушково, с. Погост Крест, д. Поповка, д. Зады для газификации жилья и объектов социальной сферы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1490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 проектной документации на распределительный газопровод по д. Торлыга для газификации жилья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Разработка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проектно-сметной документации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200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1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по разделу 1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г.г.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22188983,44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21307693,61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98" w:right="-157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881289,83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1000" w:hRule="atLeast"/>
        </w:trPr>
        <w:tc>
          <w:tcPr>
            <w:tcW w:w="14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Строительство газопроводов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Распределительный газопровод по с. Нажерово, д. Счастливка, д. Астафьево для газификации жилья и объектов социальной сферы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 г.г.,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15071594,18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14798863,33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272730,85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Повышение уровня газификации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сельских населенных пунктов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5,054 км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15071594,18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14798863,33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272730,85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(врезка, испытания)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315140,53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315140,53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Распределительный газопровод по д. Зайково, д. Денисово Малое, д. Кузяево для газификации жилья и объектов социальной сферы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 г.г.,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7860801,35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7664088,92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0"/>
              </w:rPr>
            </w:pPr>
            <w:r>
              <w:rPr>
                <w:rFonts w:ascii="Times New Roman" w:hAnsi="Times New Roman"/>
                <w:b w:val="false"/>
                <w:color w:val="000000"/>
                <w:sz w:val="20"/>
              </w:rPr>
              <w:t>196712,43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Администрация</w:t>
            </w:r>
          </w:p>
          <w:p>
            <w:pPr>
              <w:pStyle w:val="ConsPlusNormal1"/>
              <w:widowControl w:val="false"/>
              <w:ind w:left="-110" w:right="-108" w:hanging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Ильинского муниципального района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Повышение уровня газификации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сельских населенных пунктов</w:t>
            </w:r>
          </w:p>
        </w:tc>
      </w:tr>
      <w:tr>
        <w:trPr>
          <w:trHeight w:val="212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2,3868 км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7860801,35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7664088,92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196712,43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(врезка, испытания)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---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234" w:hRule="atLeast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по разделу 2: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2020-202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г.г.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23247536,06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22462952,25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784583,81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---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458" w:hRule="atLeas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42" w:right="-11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по программе: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45436519,5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43770645,86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1665873,64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---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4.3. Бюджетные ассигнования на реализацию  программы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right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</w:t>
      </w:r>
    </w:p>
    <w:tbl>
      <w:tblPr>
        <w:tblStyle w:val="Style_4"/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2"/>
        <w:gridCol w:w="1623"/>
        <w:gridCol w:w="1384"/>
        <w:gridCol w:w="1370"/>
        <w:gridCol w:w="1269"/>
        <w:gridCol w:w="1286"/>
        <w:gridCol w:w="1210"/>
        <w:gridCol w:w="1394"/>
      </w:tblGrid>
      <w:tr>
        <w:trPr/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10"/>
                <w:sz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>Направления финансирования</w:t>
            </w:r>
          </w:p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10"/>
                <w:sz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>и источники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8" w:right="-108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ConsPlusNormal1"/>
              <w:widowControl w:val="false"/>
              <w:ind w:left="-108" w:right="-108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2019-2024 годы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2023 год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на реализацию программы, (рублей), в том числе: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45436519,5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5198932,93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15576644,69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8175941,88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16485000,00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>
        <w:trPr>
          <w:trHeight w:val="75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(рублей)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43770645,86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5146943,61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15298863,33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7664088,92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15660</w:t>
            </w:r>
            <w:r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 (рублей)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1665873,64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51989,32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277781,36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511852,96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824250,00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/>
        <w:tc>
          <w:tcPr>
            <w:tcW w:w="13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Разработка проектно-сметной документации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</w:tr>
      <w:tr>
        <w:trPr>
          <w:trHeight w:val="575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на разработку ПСД, (рублей), в том числе: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22188983,44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5198932,93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505050,51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16485000,00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>
        <w:trPr>
          <w:trHeight w:val="278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 (рублей)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47" w:right="-118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21307693,61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5146943,61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15660</w:t>
            </w:r>
            <w:r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(рублей)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98" w:right="-157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881289,83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51989,32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5050,51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824250,00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/>
        <w:tc>
          <w:tcPr>
            <w:tcW w:w="13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Строительство газопроводов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на строительство, (рублей), в том числе: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23247536,06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15071594,18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0"/>
              </w:rPr>
            </w:pPr>
            <w:r>
              <w:rPr>
                <w:rFonts w:ascii="Times New Roman" w:hAnsi="Times New Roman"/>
                <w:b w:val="false"/>
                <w:color w:val="000000"/>
                <w:sz w:val="20"/>
              </w:rPr>
              <w:t>8175941,88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(рублей)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22462952,25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14798863,33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7664088,92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(рублей)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784583,81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272730,85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511852,96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77" w:right="-181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left="-100" w:right="-16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asciiTheme="minorAscii" w:hAnsiTheme="minorHAnsi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Style15"/>
    <w:next w:val="Style16"/>
    <w:link w:val="Style_18_ch"/>
    <w:uiPriority w:val="9"/>
    <w:qFormat/>
    <w:pPr>
      <w:numPr>
        <w:ilvl w:val="0"/>
        <w:numId w:val="1"/>
      </w:numPr>
      <w:spacing w:before="240" w:after="120"/>
      <w:outlineLvl w:val="0"/>
    </w:pPr>
    <w:rPr>
      <w:b/>
      <w:sz w:val="36"/>
    </w:rPr>
  </w:style>
  <w:style w:type="paragraph" w:styleId="2">
    <w:name w:val="Heading 2"/>
    <w:next w:val="Normal"/>
    <w:link w:val="Style_3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32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17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Contents6">
    <w:name w:val="Contents 6"/>
    <w:link w:val="Style_7"/>
    <w:qFormat/>
    <w:rPr>
      <w:rFonts w:ascii="XO Thames" w:hAnsi="XO Thames"/>
      <w:sz w:val="28"/>
    </w:rPr>
  </w:style>
  <w:style w:type="character" w:styleId="Contents7">
    <w:name w:val="Contents 7"/>
    <w:link w:val="Style_8"/>
    <w:qFormat/>
    <w:rPr>
      <w:rFonts w:ascii="XO Thames" w:hAnsi="XO Thames"/>
      <w:sz w:val="28"/>
    </w:rPr>
  </w:style>
  <w:style w:type="character" w:styleId="Heading3">
    <w:name w:val="Heading 3"/>
    <w:link w:val="Style_9"/>
    <w:qFormat/>
    <w:rPr>
      <w:rFonts w:ascii="XO Thames" w:hAnsi="XO Thames"/>
      <w:b/>
      <w:sz w:val="26"/>
    </w:rPr>
  </w:style>
  <w:style w:type="character" w:styleId="Textbody">
    <w:name w:val="Text body"/>
    <w:link w:val="Style_10"/>
    <w:qFormat/>
    <w:rPr/>
  </w:style>
  <w:style w:type="character" w:styleId="ListParagraph">
    <w:name w:val="List Paragraph"/>
    <w:link w:val="Style_11"/>
    <w:qFormat/>
    <w:rPr/>
  </w:style>
  <w:style w:type="character" w:styleId="ConsPlusNormal">
    <w:name w:val="ConsPlusNormal"/>
    <w:link w:val="Style_2"/>
    <w:qFormat/>
    <w:rPr>
      <w:rFonts w:ascii="Arial" w:hAnsi="Arial"/>
      <w:color w:val="000000"/>
      <w:sz w:val="20"/>
    </w:rPr>
  </w:style>
  <w:style w:type="character" w:styleId="Style9">
    <w:name w:val="Заголовок"/>
    <w:link w:val="Style_12"/>
    <w:qFormat/>
    <w:rPr>
      <w:rFonts w:ascii="Liberation Sans" w:hAnsi="Liberation Sans"/>
      <w:sz w:val="28"/>
    </w:rPr>
  </w:style>
  <w:style w:type="character" w:styleId="Contents3">
    <w:name w:val="Contents 3"/>
    <w:link w:val="Style_13"/>
    <w:qFormat/>
    <w:rPr>
      <w:rFonts w:ascii="XO Thames" w:hAnsi="XO Thames"/>
      <w:sz w:val="28"/>
    </w:rPr>
  </w:style>
  <w:style w:type="character" w:styleId="BalloonText">
    <w:name w:val="Balloon Text"/>
    <w:link w:val="Style_14"/>
    <w:qFormat/>
    <w:rPr>
      <w:rFonts w:ascii="Tahoma" w:hAnsi="Tahoma"/>
      <w:sz w:val="16"/>
    </w:rPr>
  </w:style>
  <w:style w:type="character" w:styleId="Style10">
    <w:name w:val="Заголовок таблицы"/>
    <w:basedOn w:val="Style14"/>
    <w:link w:val="Style_15"/>
    <w:qFormat/>
    <w:rPr>
      <w:b/>
    </w:rPr>
  </w:style>
  <w:style w:type="character" w:styleId="Heading5">
    <w:name w:val="Heading 5"/>
    <w:link w:val="Style_17"/>
    <w:qFormat/>
    <w:rPr>
      <w:rFonts w:ascii="XO Thames" w:hAnsi="XO Thames"/>
      <w:b/>
      <w:sz w:val="22"/>
    </w:rPr>
  </w:style>
  <w:style w:type="character" w:styleId="Heading1">
    <w:name w:val="Heading 1"/>
    <w:basedOn w:val="Style9"/>
    <w:link w:val="Style_18"/>
    <w:qFormat/>
    <w:rPr>
      <w:b/>
      <w:sz w:val="36"/>
    </w:rPr>
  </w:style>
  <w:style w:type="character" w:styleId="List">
    <w:name w:val="List"/>
    <w:basedOn w:val="Textbody"/>
    <w:link w:val="Style_19"/>
    <w:qFormat/>
    <w:rPr/>
  </w:style>
  <w:style w:type="character" w:styleId="DefaultParagraphFont">
    <w:name w:val="Default Paragraph Font"/>
    <w:link w:val="Style_20"/>
    <w:qFormat/>
    <w:rPr/>
  </w:style>
  <w:style w:type="character" w:styleId="Style11">
    <w:name w:val="Интернет-ссылка"/>
    <w:basedOn w:val="DefaultParagraphFont"/>
    <w:link w:val="Style_35"/>
    <w:rPr>
      <w:color w:val="0000FF"/>
      <w:u w:val="single"/>
    </w:rPr>
  </w:style>
  <w:style w:type="character" w:styleId="Footnote">
    <w:name w:val="Footnote"/>
    <w:link w:val="Style_22"/>
    <w:qFormat/>
    <w:rPr>
      <w:rFonts w:ascii="XO Thames" w:hAnsi="XO Thames"/>
      <w:sz w:val="22"/>
    </w:rPr>
  </w:style>
  <w:style w:type="character" w:styleId="Contents1">
    <w:name w:val="Contents 1"/>
    <w:link w:val="Style_23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4"/>
    <w:qFormat/>
    <w:rPr>
      <w:rFonts w:ascii="XO Thames" w:hAnsi="XO Thames"/>
      <w:sz w:val="20"/>
    </w:rPr>
  </w:style>
  <w:style w:type="character" w:styleId="Contents9">
    <w:name w:val="Contents 9"/>
    <w:link w:val="Style_25"/>
    <w:qFormat/>
    <w:rPr>
      <w:rFonts w:ascii="XO Thames" w:hAnsi="XO Thames"/>
      <w:sz w:val="28"/>
    </w:rPr>
  </w:style>
  <w:style w:type="character" w:styleId="Contents8">
    <w:name w:val="Contents 8"/>
    <w:link w:val="Style_26"/>
    <w:qFormat/>
    <w:rPr>
      <w:rFonts w:ascii="XO Thames" w:hAnsi="XO Thames"/>
      <w:sz w:val="28"/>
    </w:rPr>
  </w:style>
  <w:style w:type="character" w:styleId="ConsPlusTitle">
    <w:name w:val="ConsPlusTitle"/>
    <w:link w:val="Style_3"/>
    <w:qFormat/>
    <w:rPr>
      <w:rFonts w:ascii="Arial" w:hAnsi="Arial"/>
      <w:b/>
      <w:color w:val="000000"/>
      <w:sz w:val="20"/>
    </w:rPr>
  </w:style>
  <w:style w:type="character" w:styleId="Style12">
    <w:name w:val="Текст выноски Знак"/>
    <w:basedOn w:val="DefaultParagraphFont"/>
    <w:link w:val="Style_27"/>
    <w:qFormat/>
    <w:rPr>
      <w:rFonts w:ascii="Tahoma" w:hAnsi="Tahoma"/>
      <w:sz w:val="16"/>
    </w:rPr>
  </w:style>
  <w:style w:type="character" w:styleId="Contents5">
    <w:name w:val="Contents 5"/>
    <w:link w:val="Style_28"/>
    <w:qFormat/>
    <w:rPr>
      <w:rFonts w:ascii="XO Thames" w:hAnsi="XO Thames"/>
      <w:sz w:val="28"/>
    </w:rPr>
  </w:style>
  <w:style w:type="character" w:styleId="Subtitle">
    <w:name w:val="Subtitle"/>
    <w:link w:val="Style_29"/>
    <w:qFormat/>
    <w:rPr>
      <w:rFonts w:ascii="XO Thames" w:hAnsi="XO Thames"/>
      <w:i/>
      <w:sz w:val="24"/>
    </w:rPr>
  </w:style>
  <w:style w:type="character" w:styleId="Title">
    <w:name w:val="Title"/>
    <w:link w:val="Style_30"/>
    <w:qFormat/>
    <w:rPr>
      <w:rFonts w:ascii="XO Thames" w:hAnsi="XO Thames"/>
      <w:b/>
      <w:caps/>
      <w:sz w:val="40"/>
    </w:rPr>
  </w:style>
  <w:style w:type="character" w:styleId="Caption">
    <w:name w:val="Caption"/>
    <w:link w:val="Style_31"/>
    <w:qFormat/>
    <w:rPr>
      <w:i/>
      <w:sz w:val="24"/>
    </w:rPr>
  </w:style>
  <w:style w:type="character" w:styleId="Heading4">
    <w:name w:val="Heading 4"/>
    <w:link w:val="Style_32"/>
    <w:qFormat/>
    <w:rPr>
      <w:rFonts w:ascii="XO Thames" w:hAnsi="XO Thames"/>
      <w:b/>
      <w:sz w:val="24"/>
    </w:rPr>
  </w:style>
  <w:style w:type="character" w:styleId="Style13">
    <w:name w:val="Указатель"/>
    <w:link w:val="Style_33"/>
    <w:qFormat/>
    <w:rPr/>
  </w:style>
  <w:style w:type="character" w:styleId="Heading2">
    <w:name w:val="Heading 2"/>
    <w:link w:val="Style_34"/>
    <w:qFormat/>
    <w:rPr>
      <w:rFonts w:ascii="XO Thames" w:hAnsi="XO Thames"/>
      <w:b/>
      <w:sz w:val="28"/>
    </w:rPr>
  </w:style>
  <w:style w:type="character" w:styleId="Style14">
    <w:name w:val="Содержимое таблицы"/>
    <w:link w:val="Style_16"/>
    <w:qFormat/>
    <w:rPr/>
  </w:style>
  <w:style w:type="paragraph" w:styleId="Style15">
    <w:name w:val="Заголовок"/>
    <w:basedOn w:val="Normal"/>
    <w:next w:val="Style16"/>
    <w:link w:val="Style_12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6">
    <w:name w:val="Body Text"/>
    <w:basedOn w:val="Normal"/>
    <w:link w:val="Style_10_ch"/>
    <w:pPr>
      <w:spacing w:lineRule="auto" w:line="276" w:before="0" w:after="140"/>
    </w:pPr>
    <w:rPr/>
  </w:style>
  <w:style w:type="paragraph" w:styleId="Style17">
    <w:name w:val="List"/>
    <w:basedOn w:val="Style16"/>
    <w:link w:val="Style_19_ch"/>
    <w:pPr/>
    <w:rPr/>
  </w:style>
  <w:style w:type="paragraph" w:styleId="Style18">
    <w:name w:val="Caption"/>
    <w:basedOn w:val="Normal"/>
    <w:link w:val="Style_31_ch"/>
    <w:qFormat/>
    <w:pPr>
      <w:spacing w:before="120" w:after="120"/>
    </w:pPr>
    <w:rPr>
      <w:i/>
      <w:sz w:val="24"/>
    </w:rPr>
  </w:style>
  <w:style w:type="paragraph" w:styleId="Style19">
    <w:name w:val="Указатель"/>
    <w:basedOn w:val="Normal"/>
    <w:link w:val="Style_33_ch"/>
    <w:qFormat/>
    <w:pPr/>
    <w:rPr/>
  </w:style>
  <w:style w:type="paragraph" w:styleId="21">
    <w:name w:val="TOC 2"/>
    <w:next w:val="Normal"/>
    <w:link w:val="Style_5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Style_11_ch"/>
    <w:qFormat/>
    <w:pPr>
      <w:spacing w:before="0" w:after="200"/>
      <w:ind w:left="720" w:right="0" w:hanging="0"/>
      <w:contextualSpacing/>
    </w:pPr>
    <w:rPr/>
  </w:style>
  <w:style w:type="paragraph" w:styleId="ConsPlusNormal1">
    <w:name w:val="ConsPlusNormal"/>
    <w:link w:val="Style_2_ch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13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Style_14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Style20">
    <w:name w:val="Содержимое таблицы"/>
    <w:basedOn w:val="Normal"/>
    <w:link w:val="Style_16_ch"/>
    <w:qFormat/>
    <w:pPr>
      <w:widowControl w:val="false"/>
    </w:pPr>
    <w:rPr/>
  </w:style>
  <w:style w:type="paragraph" w:styleId="Style21">
    <w:name w:val="Заголовок таблицы"/>
    <w:basedOn w:val="Style20"/>
    <w:link w:val="Style_15_ch"/>
    <w:qFormat/>
    <w:pPr>
      <w:jc w:val="center"/>
    </w:pPr>
    <w:rPr>
      <w:b/>
    </w:rPr>
  </w:style>
  <w:style w:type="paragraph" w:styleId="DefaultParagraphFont1">
    <w:name w:val="Default Paragraph Font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Hyperlink"/>
    <w:link w:val="Style_2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22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3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Верхний и нижний колонтитулы"/>
    <w:link w:val="Style_24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5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26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Style_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Текст выноски Знак"/>
    <w:basedOn w:val="DefaultParagraphFont1"/>
    <w:link w:val="Style_27_ch"/>
    <w:qFormat/>
    <w:pPr/>
    <w:rPr>
      <w:rFonts w:ascii="Tahoma" w:hAnsi="Tahoma"/>
      <w:sz w:val="16"/>
    </w:rPr>
  </w:style>
  <w:style w:type="paragraph" w:styleId="51">
    <w:name w:val="TOC 5"/>
    <w:next w:val="Normal"/>
    <w:link w:val="Style_28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Subtitle"/>
    <w:next w:val="Normal"/>
    <w:link w:val="Style_29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Title"/>
    <w:next w:val="Normal"/>
    <w:link w:val="Style_30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6">
    <w:name w:val="Интернет-ссылка"/>
    <w:basedOn w:val="DefaultParagraphFont1"/>
    <w:link w:val="Style_35_ch"/>
    <w:qFormat/>
    <w:pPr/>
    <w:rPr>
      <w:color w:val="0000FF"/>
      <w:u w:val="single"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LibreOffice/6.4.1.2$Windows_x86 LibreOffice_project/4d224e95b98b138af42a64d84056446d09082932</Application>
  <Pages>9</Pages>
  <Words>1838</Words>
  <Characters>12903</Characters>
  <CharactersWithSpaces>14378</CharactersWithSpaces>
  <Paragraphs>551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2022-11-01T15:36:44Z</cp:lastPrinted>
  <dcterms:modified xsi:type="dcterms:W3CDTF">2022-11-01T15:42:08Z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